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Default="00824E01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>21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</w:t>
      </w:r>
      <w:r w:rsidR="005C76A0">
        <w:rPr>
          <w:bCs/>
          <w:sz w:val="28"/>
          <w:szCs w:val="36"/>
        </w:rPr>
        <w:t>4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 xml:space="preserve"> 252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:rsidR="00890926" w:rsidRPr="009A419E" w:rsidRDefault="008D0C0E" w:rsidP="00E21115">
      <w:pPr>
        <w:rPr>
          <w:sz w:val="28"/>
          <w:szCs w:val="28"/>
        </w:rPr>
      </w:pPr>
      <w:r w:rsidRPr="008D0C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55.25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  <w:r w:rsidR="005C76A0">
                    <w:rPr>
                      <w:bCs/>
                      <w:sz w:val="28"/>
                      <w:szCs w:val="36"/>
                    </w:rPr>
                    <w:t>, от 14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</w:t>
                  </w:r>
                  <w:r w:rsidR="005C76A0">
                    <w:rPr>
                      <w:bCs/>
                      <w:sz w:val="28"/>
                      <w:szCs w:val="36"/>
                    </w:rPr>
                    <w:t>02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.202</w:t>
                  </w:r>
                  <w:r w:rsidR="005C76A0">
                    <w:rPr>
                      <w:bCs/>
                      <w:sz w:val="28"/>
                      <w:szCs w:val="36"/>
                    </w:rPr>
                    <w:t>3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78                                                                                            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093188" w:rsidRDefault="00093188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345815">
        <w:rPr>
          <w:bCs/>
          <w:sz w:val="28"/>
          <w:szCs w:val="36"/>
        </w:rPr>
        <w:t>) следующие изменения:</w:t>
      </w:r>
    </w:p>
    <w:p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lastRenderedPageBreak/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45815" w:rsidRDefault="00345815" w:rsidP="00345815">
      <w:pPr>
        <w:jc w:val="both"/>
        <w:rPr>
          <w:szCs w:val="28"/>
        </w:rPr>
      </w:pPr>
    </w:p>
    <w:p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8"/>
        <w:gridCol w:w="1186"/>
        <w:gridCol w:w="2379"/>
        <w:gridCol w:w="2263"/>
        <w:gridCol w:w="2103"/>
      </w:tblGrid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</w:t>
            </w:r>
            <w:r w:rsidRPr="009A419E">
              <w:lastRenderedPageBreak/>
              <w:t xml:space="preserve">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 xml:space="preserve">- привлечение в сферу малого и среднего предпринимательства </w:t>
            </w:r>
            <w:r w:rsidRPr="009A419E">
              <w:lastRenderedPageBreak/>
              <w:t>представителей социально-незащищенных слоев населения и молодежи;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  <w:bookmarkStart w:id="0" w:name="_GoBack"/>
            <w:bookmarkEnd w:id="0"/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812909">
            <w:pPr>
              <w:pStyle w:val="ConsPlusCell"/>
            </w:pPr>
            <w:r w:rsidRPr="00812909">
              <w:t xml:space="preserve">Всего: </w:t>
            </w:r>
            <w:r w:rsidR="00812909" w:rsidRPr="00812909">
              <w:t>19362,24</w:t>
            </w:r>
            <w:r w:rsidRPr="00812909">
              <w:t>тыс.рублей</w:t>
            </w:r>
          </w:p>
        </w:tc>
      </w:tr>
      <w:tr w:rsidR="00345815" w:rsidRPr="009A419E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2025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12909" w:rsidP="00345815">
            <w:pPr>
              <w:jc w:val="center"/>
            </w:pPr>
            <w:r w:rsidRPr="00812909">
              <w:t>7</w:t>
            </w:r>
            <w:r w:rsidR="007D77A4" w:rsidRPr="00812909">
              <w:t>042</w:t>
            </w:r>
            <w:r w:rsidR="00345815" w:rsidRPr="00812909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12909" w:rsidP="00345815">
            <w:pPr>
              <w:jc w:val="center"/>
            </w:pPr>
            <w:r w:rsidRPr="00812909">
              <w:t>8350,00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2050,00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CB6120" w:rsidRDefault="00345815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824E01">
        <w:rPr>
          <w:sz w:val="20"/>
        </w:rPr>
        <w:t>21</w:t>
      </w:r>
      <w:r>
        <w:rPr>
          <w:sz w:val="20"/>
        </w:rPr>
        <w:t>.</w:t>
      </w:r>
      <w:r w:rsidR="00CD6179">
        <w:rPr>
          <w:sz w:val="20"/>
        </w:rPr>
        <w:t>0</w:t>
      </w:r>
      <w:r w:rsidR="005C76A0">
        <w:rPr>
          <w:sz w:val="20"/>
        </w:rPr>
        <w:t>4</w:t>
      </w:r>
      <w:r>
        <w:rPr>
          <w:sz w:val="20"/>
        </w:rPr>
        <w:t>.202</w:t>
      </w:r>
      <w:r w:rsidR="00875069">
        <w:rPr>
          <w:sz w:val="20"/>
        </w:rPr>
        <w:t>3</w:t>
      </w:r>
      <w:r>
        <w:rPr>
          <w:sz w:val="20"/>
        </w:rPr>
        <w:t xml:space="preserve"> № </w:t>
      </w:r>
      <w:r w:rsidR="00824E01">
        <w:rPr>
          <w:sz w:val="20"/>
        </w:rPr>
        <w:t>252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782"/>
        <w:gridCol w:w="2739"/>
        <w:gridCol w:w="2253"/>
        <w:gridCol w:w="1287"/>
        <w:gridCol w:w="1287"/>
        <w:gridCol w:w="1783"/>
        <w:gridCol w:w="1141"/>
        <w:gridCol w:w="1264"/>
        <w:gridCol w:w="1067"/>
        <w:gridCol w:w="1157"/>
        <w:gridCol w:w="1443"/>
      </w:tblGrid>
      <w:tr w:rsidR="00812909" w:rsidRPr="00812909" w:rsidTr="00812909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</w:tr>
      <w:tr w:rsidR="00812909" w:rsidRPr="00812909" w:rsidTr="00812909">
        <w:trPr>
          <w:trHeight w:val="15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12909" w:rsidRPr="00812909" w:rsidTr="00812909">
        <w:trPr>
          <w:trHeight w:val="6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12909" w:rsidRPr="00812909" w:rsidTr="00812909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12909" w:rsidRPr="00812909" w:rsidTr="00812909">
        <w:trPr>
          <w:trHeight w:val="3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 w:rsidRPr="00812909"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 w:rsidRPr="00812909"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7042,24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7042,24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9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b/>
                <w:bCs/>
                <w:color w:val="000000"/>
              </w:rPr>
            </w:pPr>
            <w:r w:rsidRPr="00812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6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812909" w:rsidRPr="00812909" w:rsidRDefault="00812909" w:rsidP="00812909">
            <w:pPr>
              <w:jc w:val="right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</w:t>
            </w:r>
            <w:r w:rsidRPr="00812909"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55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6992,24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6992,24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52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49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</w:t>
            </w:r>
            <w:proofErr w:type="spellStart"/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Фёдоровскоег.п</w:t>
            </w:r>
            <w:proofErr w:type="spellEnd"/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Аннолово</w:t>
            </w:r>
            <w:proofErr w:type="spellEnd"/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51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43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51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46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909" w:rsidRPr="00812909" w:rsidTr="00812909">
        <w:trPr>
          <w:trHeight w:val="54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54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9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7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12909" w:rsidRPr="00812909" w:rsidTr="0081290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 xml:space="preserve">Услуги в области землеустройства </w:t>
            </w: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6572,24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6572,24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7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rFonts w:ascii="Calibri" w:hAnsi="Calibri"/>
                <w:color w:val="000000"/>
              </w:rPr>
            </w:pPr>
            <w:r w:rsidRPr="00812909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63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909" w:rsidRPr="00812909" w:rsidTr="00812909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909" w:rsidRPr="00812909" w:rsidRDefault="00812909" w:rsidP="00812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09" w:rsidRPr="00812909" w:rsidRDefault="00812909" w:rsidP="00812909">
            <w:pPr>
              <w:jc w:val="center"/>
              <w:rPr>
                <w:color w:val="000000"/>
              </w:rPr>
            </w:pPr>
            <w:r w:rsidRPr="0081290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DE" w:rsidRDefault="007042DE">
      <w:r>
        <w:separator/>
      </w:r>
    </w:p>
  </w:endnote>
  <w:endnote w:type="continuationSeparator" w:id="1">
    <w:p w:rsidR="007042DE" w:rsidRDefault="007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DE" w:rsidRDefault="007042DE">
      <w:r>
        <w:separator/>
      </w:r>
    </w:p>
  </w:footnote>
  <w:footnote w:type="continuationSeparator" w:id="1">
    <w:p w:rsidR="007042DE" w:rsidRDefault="0070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1078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Glavbuh</cp:lastModifiedBy>
  <cp:revision>2</cp:revision>
  <cp:lastPrinted>2023-04-24T09:56:00Z</cp:lastPrinted>
  <dcterms:created xsi:type="dcterms:W3CDTF">2023-04-24T09:56:00Z</dcterms:created>
  <dcterms:modified xsi:type="dcterms:W3CDTF">2023-04-24T09:56:00Z</dcterms:modified>
</cp:coreProperties>
</file>