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11" w:rsidRPr="00600011" w:rsidRDefault="00600011" w:rsidP="00600011">
      <w:pPr>
        <w:spacing w:line="240" w:lineRule="auto"/>
        <w:ind w:left="0"/>
        <w:jc w:val="center"/>
        <w:rPr>
          <w:rFonts w:asciiTheme="minorHAnsi" w:eastAsia="Times New Roman" w:hAnsiTheme="minorHAnsi" w:cs="Times New Roman"/>
          <w:b/>
          <w:bCs/>
          <w:color w:val="000000"/>
          <w:sz w:val="24"/>
          <w:szCs w:val="21"/>
          <w:lang w:eastAsia="ru-RU"/>
        </w:rPr>
      </w:pPr>
      <w:bookmarkStart w:id="0" w:name="_GoBack"/>
      <w:r w:rsidRPr="00600011">
        <w:rPr>
          <w:rFonts w:asciiTheme="minorHAnsi" w:eastAsia="Times New Roman" w:hAnsiTheme="minorHAnsi" w:cs="Times New Roman"/>
          <w:b/>
          <w:bCs/>
          <w:color w:val="000000"/>
          <w:sz w:val="24"/>
          <w:szCs w:val="21"/>
          <w:lang w:eastAsia="ru-RU"/>
        </w:rPr>
        <w:t>Извещение о проведении запроса котировок в электронной форме</w:t>
      </w:r>
    </w:p>
    <w:p w:rsidR="00600011" w:rsidRPr="00600011" w:rsidRDefault="00600011" w:rsidP="00600011">
      <w:pPr>
        <w:spacing w:line="240" w:lineRule="auto"/>
        <w:ind w:left="0"/>
        <w:jc w:val="center"/>
        <w:rPr>
          <w:rFonts w:asciiTheme="minorHAnsi" w:eastAsia="Times New Roman" w:hAnsiTheme="minorHAnsi" w:cs="Times New Roman"/>
          <w:color w:val="000000"/>
          <w:sz w:val="24"/>
          <w:szCs w:val="21"/>
          <w:lang w:eastAsia="ru-RU"/>
        </w:rPr>
      </w:pPr>
      <w:r w:rsidRPr="00600011">
        <w:rPr>
          <w:rFonts w:asciiTheme="minorHAnsi" w:eastAsia="Times New Roman" w:hAnsiTheme="minorHAnsi" w:cs="Times New Roman"/>
          <w:color w:val="000000"/>
          <w:sz w:val="24"/>
          <w:szCs w:val="21"/>
          <w:lang w:eastAsia="ru-RU"/>
        </w:rPr>
        <w:t>для закупки №0145300002120000018</w:t>
      </w:r>
    </w:p>
    <w:bookmarkEnd w:id="0"/>
    <w:tbl>
      <w:tblPr>
        <w:tblW w:w="0" w:type="auto"/>
        <w:tblCellSpacing w:w="15" w:type="dxa"/>
        <w:tblCellMar>
          <w:top w:w="15" w:type="dxa"/>
          <w:left w:w="15" w:type="dxa"/>
          <w:bottom w:w="15" w:type="dxa"/>
          <w:right w:w="15" w:type="dxa"/>
        </w:tblCellMar>
        <w:tblLook w:val="04A0"/>
      </w:tblPr>
      <w:tblGrid>
        <w:gridCol w:w="3886"/>
        <w:gridCol w:w="158"/>
        <w:gridCol w:w="5401"/>
      </w:tblGrid>
      <w:tr w:rsidR="00600011" w:rsidRPr="00600011" w:rsidTr="00600011">
        <w:trPr>
          <w:tblCellSpacing w:w="15" w:type="dxa"/>
        </w:trPr>
        <w:tc>
          <w:tcPr>
            <w:tcW w:w="4253" w:type="dxa"/>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color w:val="000000"/>
                <w:sz w:val="21"/>
                <w:szCs w:val="21"/>
                <w:lang w:eastAsia="ru-RU"/>
              </w:rPr>
            </w:pPr>
          </w:p>
        </w:tc>
        <w:tc>
          <w:tcPr>
            <w:tcW w:w="5102" w:type="dxa"/>
            <w:gridSpan w:val="2"/>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color w:val="000000"/>
                <w:sz w:val="21"/>
                <w:szCs w:val="21"/>
                <w:lang w:eastAsia="ru-RU"/>
              </w:rPr>
            </w:pPr>
          </w:p>
        </w:tc>
      </w:tr>
      <w:tr w:rsidR="00600011" w:rsidRPr="00600011" w:rsidTr="00600011">
        <w:trPr>
          <w:tblCellSpacing w:w="15" w:type="dxa"/>
        </w:trPr>
        <w:tc>
          <w:tcPr>
            <w:tcW w:w="4253" w:type="dxa"/>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Общая информация</w:t>
            </w:r>
          </w:p>
        </w:tc>
        <w:tc>
          <w:tcPr>
            <w:tcW w:w="5102" w:type="dxa"/>
            <w:gridSpan w:val="2"/>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Номер извещения</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0145300002120000018</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Наименование объекта закупки</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Организация отдыха детей в летнем оздоровительном лагере</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Способ определения поставщика (подрядчика, исполнителя)</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Запрос котировок в электронной форме</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Наименование электронной площадки в информационно-телекоммуникационной сети «Интернет»</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ЗАО «Сбербанк-АСТ»</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Адрес электронной площадки в информационно-телекоммуникационной сети «Интернет»</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http://www.sberbank-ast.ru</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Размещение осуществляет</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Заказчик</w:t>
            </w:r>
            <w:r w:rsidRPr="00600011">
              <w:rPr>
                <w:rFonts w:asciiTheme="minorHAnsi" w:eastAsia="Times New Roman" w:hAnsiTheme="minorHAnsi" w:cs="Times New Roman"/>
                <w:color w:val="000000"/>
                <w:sz w:val="21"/>
                <w:szCs w:val="21"/>
                <w:lang w:eastAsia="ru-RU"/>
              </w:rPr>
              <w:br/>
              <w:t>АДМИНИСТРАЦИЯ ФЕДОРОВСКОГО ГОРОДСКОГО ПОСЕЛЕНИЯ ТОСНЕНСКОГО РАЙОНА ЛЕНИНГРАДСКОЙ ОБЛАСТИ</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Контактная информация</w:t>
            </w:r>
          </w:p>
        </w:tc>
        <w:tc>
          <w:tcPr>
            <w:tcW w:w="5102" w:type="dxa"/>
            <w:gridSpan w:val="2"/>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Организация, осуществляющая размещение</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АДМИНИСТРАЦИЯ ФЕДОРОВСКОГО ГОРОДСКОГО ПОСЕЛЕНИЯ ТОСНЕНСКОГО РАЙОНА ЛЕНИНГРАДСКОЙ ОБЛАСТИ</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Почтовый адрес</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Российская Федерация, 187021, Ленинградская обл, Тосненский р-н, Фёдоровскоегп, УЛИЦА ШОССЕЙНАЯ, 12А</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Место нахождения</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Российская Федерация, 187021, Ленинградская обл, Тосненский р-н, Фёдоровскоегп, УЛИЦА ШОССЕЙНАЯ, 12А</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Ответственное должностное лицо</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Мелконян А. С.</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Адрес электронной почты</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fedorovskoe_mo@mail.ru</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Номер контактного телефона</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7-81361-65323</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Факс</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7-81361-65323</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Информация о контрактной службе, контрактном управляющем</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Заместитель главы администрации Ильина Татьяна Витальевна 8(813)61-65-323</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Дополнительная информация</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Информация отсутствует</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Информация о процедуре закупки</w:t>
            </w:r>
          </w:p>
        </w:tc>
        <w:tc>
          <w:tcPr>
            <w:tcW w:w="5102" w:type="dxa"/>
            <w:gridSpan w:val="2"/>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Дата и время начала подачи заявок</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Дата и время окончания подачи заявок</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14.04.2020 01:00</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Место подачи заявок</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ЗАО «Сбербанк-АСТ»</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Порядок подачи заявок</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 xml:space="preserve">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единой информационной системе и аккредитованными на электронной площадке. Заявка на участие в запросе котировок в электронной форме состоит из предложений участника </w:t>
            </w:r>
            <w:r w:rsidRPr="00600011">
              <w:rPr>
                <w:rFonts w:asciiTheme="minorHAnsi" w:eastAsia="Times New Roman" w:hAnsiTheme="minorHAnsi" w:cs="Times New Roman"/>
                <w:color w:val="000000"/>
                <w:sz w:val="21"/>
                <w:szCs w:val="21"/>
                <w:lang w:eastAsia="ru-RU"/>
              </w:rPr>
              <w:lastRenderedPageBreak/>
              <w:t>запроса котировок в электронной форме о предлагаемых товаре, работе, услуге, а также о цене контракта и направляется участником запроса котировок в электронной форме оператору электронной площадки.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в электронной форме,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Заявки, должны быть оформлены по форме, представленной в приложении к извещению о проведении запроса котировок в электронной форме и содержать все указанные в форме сведения и информацию.</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lastRenderedPageBreak/>
              <w:t>Срок, в течение которого победитель запроса котировок в электронной форме или иной участник запроса котировок в электронной форме, с которым заключается контракт при уклонении победителя от заключения контракта, должен подписать контракт</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Контракт заключается на условиях, указанных в извещении о проведении запроса котировок в электронной форме, заявке победителя запроса котировок в электронной форме, по цене, предложенной победителем.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в электронной форме. В течение пяти дней с даты размещения заказчиком в единой информационной системе проекта контракта победитель запроса котировок в электронной форме, либо участник запроса котировок в электронной форме, признанный победителем запроса котировок в электронной форме,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визвещении о проведении запроса котировок в электронной форме, либо размещает протокол разногласий.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контракта, заказчик размещает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 С момента размещения в единой информационной системе подписанного заказчиком контракта он считается заключенным.</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lastRenderedPageBreak/>
              <w:t>Условия признания победителя запроса котировок или иного участника запроса котировок уклонившимися от заключения контракта</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Победитель запроса котировок в электронной форме (за исключением участника, заявке которого присвоен второй номер, признанного победителем) признается заказчиком уклонившимся от заключения контракта в случае, если в сроки, предусмотренные Федеральным законом,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запроса котировок в электронной форме, заявке которого присвоен второй номер. Этот участник признается победителем запроса котировок в электронной форме, и в проект контракта, прилагаемый к извещению запроса котировок в электронной форме, заказчиком включаются условия исполнения данного контракта, предложенные этим участником. Указанный участник электронной процедуры, признанный победителем запроса котировок в электронной форме вправе подписать проект контракта или разместить протокол разногласий в порядке и сроки, которые предусмотрены Федеральным законом,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данное требование установлено в извещении о проведении запроса котировок в электронной форме. Этот победитель считается уклонившимся от заключения контракта в случае неисполнения требований части 6 ст. 83.2 Федерального закона и (или) непредоставления обеспечения исполнения контракта. Такой победитель признается отказавшимся от заключения контракта в случае, если в срок, предусмотренный Федеральным законом, он не подписал проект контракта или не направил протокол разногласий.</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Дополнительная информация</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Информация отсутствует</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Условия контракта</w:t>
            </w:r>
          </w:p>
        </w:tc>
        <w:tc>
          <w:tcPr>
            <w:tcW w:w="5102" w:type="dxa"/>
            <w:gridSpan w:val="2"/>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Начальная (максимальная) цена контракта</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417869.67 Российский рубль</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Обоснование начальной (максимальной) цены контракта</w:t>
            </w:r>
          </w:p>
        </w:tc>
        <w:tc>
          <w:tcPr>
            <w:tcW w:w="5102" w:type="dxa"/>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Начальная (максимальная) цена контракта сформирована на основании п.2 ст. 22 Федерального закона 05.04.2013г. № 44-ФЗ с применением метода сопоставимых рыночных цен (приложение №2).</w:t>
            </w:r>
          </w:p>
        </w:tc>
      </w:tr>
      <w:tr w:rsidR="00600011" w:rsidRPr="00600011" w:rsidTr="00600011">
        <w:trPr>
          <w:tblCellSpacing w:w="15" w:type="dxa"/>
        </w:trPr>
        <w:tc>
          <w:tcPr>
            <w:tcW w:w="4253"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Финансовое обеспечение закупки</w:t>
            </w:r>
          </w:p>
        </w:tc>
        <w:tc>
          <w:tcPr>
            <w:tcW w:w="5102" w:type="dxa"/>
            <w:gridSpan w:val="2"/>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055"/>
              <w:gridCol w:w="1769"/>
              <w:gridCol w:w="1744"/>
              <w:gridCol w:w="1744"/>
              <w:gridCol w:w="2662"/>
            </w:tblGrid>
            <w:tr w:rsidR="00600011" w:rsidRPr="006000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Оплата за 2020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Оплата за 2021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Сумма на последующие годы</w:t>
                  </w:r>
                </w:p>
              </w:tc>
            </w:tr>
            <w:tr w:rsidR="00600011" w:rsidRPr="006000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417869.67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417869.67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0</w:t>
                  </w:r>
                </w:p>
              </w:tc>
            </w:tr>
          </w:tbl>
          <w:p w:rsidR="00600011" w:rsidRPr="00600011" w:rsidRDefault="00600011" w:rsidP="00600011">
            <w:pPr>
              <w:spacing w:line="240" w:lineRule="auto"/>
              <w:ind w:left="0"/>
              <w:jc w:val="left"/>
              <w:rPr>
                <w:rFonts w:asciiTheme="minorHAnsi" w:eastAsia="Times New Roman" w:hAnsiTheme="minorHAnsi" w:cs="Times New Roman"/>
                <w:color w:val="000000"/>
                <w:sz w:val="21"/>
                <w:szCs w:val="21"/>
                <w:lang w:eastAsia="ru-RU"/>
              </w:rPr>
            </w:pP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Финансирование за счет 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514"/>
              <w:gridCol w:w="1055"/>
              <w:gridCol w:w="1308"/>
              <w:gridCol w:w="1127"/>
              <w:gridCol w:w="1127"/>
              <w:gridCol w:w="1853"/>
            </w:tblGrid>
            <w:tr w:rsidR="00600011" w:rsidRPr="00600011">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Российский рубль</w:t>
                  </w:r>
                </w:p>
              </w:tc>
            </w:tr>
            <w:tr w:rsidR="00600011" w:rsidRPr="006000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lastRenderedPageBreak/>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Оплата за 2020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Оплата за 2021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Сумма на последующие годы</w:t>
                  </w:r>
                </w:p>
              </w:tc>
            </w:tr>
            <w:tr w:rsidR="00600011" w:rsidRPr="006000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01007070710112290244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417869.67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417869.67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0.00</w:t>
                  </w:r>
                </w:p>
              </w:tc>
            </w:tr>
          </w:tbl>
          <w:p w:rsidR="00600011" w:rsidRPr="00600011" w:rsidRDefault="00600011" w:rsidP="00600011">
            <w:pPr>
              <w:spacing w:line="240" w:lineRule="auto"/>
              <w:ind w:left="0"/>
              <w:jc w:val="left"/>
              <w:rPr>
                <w:rFonts w:asciiTheme="minorHAnsi" w:eastAsia="Times New Roman" w:hAnsiTheme="minorHAnsi" w:cs="Times New Roman"/>
                <w:color w:val="000000"/>
                <w:sz w:val="21"/>
                <w:szCs w:val="21"/>
                <w:lang w:eastAsia="ru-RU"/>
              </w:rPr>
            </w:pP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lastRenderedPageBreak/>
              <w:t>Источник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Информация отсутствует</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Идентификационный код закупки</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203471602460247160100100310019329244</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Место доставки товара, выполнения работы или оказания услуги</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Российская Федерация, Ленинградская обл, Тосненский р-н, Не далее, чем 70 км от г.п. Федоровское Тосненского района Ленинградской области.</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Сроки поставки товара или завершения работы либо график оказания услуг</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2 смены, каждая не менее 21 календарного дня</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Объект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righ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Российский рубль</w:t>
            </w:r>
          </w:p>
        </w:tc>
      </w:tr>
      <w:tr w:rsidR="00600011" w:rsidRPr="00600011" w:rsidTr="00600011">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117"/>
              <w:gridCol w:w="933"/>
              <w:gridCol w:w="1162"/>
              <w:gridCol w:w="1162"/>
              <w:gridCol w:w="1162"/>
              <w:gridCol w:w="863"/>
              <w:gridCol w:w="889"/>
              <w:gridCol w:w="863"/>
              <w:gridCol w:w="823"/>
            </w:tblGrid>
            <w:tr w:rsidR="00600011" w:rsidRPr="0060001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Код позиции по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Цена за единицу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Стоимость позиции</w:t>
                  </w:r>
                </w:p>
              </w:tc>
            </w:tr>
            <w:tr w:rsidR="00600011" w:rsidRPr="00600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b/>
                      <w:bCs/>
                      <w:sz w:val="21"/>
                      <w:szCs w:val="21"/>
                      <w:lang w:eastAsia="ru-RU"/>
                    </w:rPr>
                  </w:pPr>
                </w:p>
              </w:tc>
              <w:tc>
                <w:tcPr>
                  <w:tcW w:w="4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Наименование характеристики</w:t>
                  </w:r>
                </w:p>
              </w:tc>
              <w:tc>
                <w:tcPr>
                  <w:tcW w:w="43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Значение характеристики</w:t>
                  </w:r>
                </w:p>
              </w:tc>
              <w:tc>
                <w:tcPr>
                  <w:tcW w:w="43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center"/>
                    <w:rPr>
                      <w:rFonts w:asciiTheme="minorHAnsi" w:eastAsia="Times New Roman" w:hAnsiTheme="minorHAnsi" w:cs="Times New Roman"/>
                      <w:b/>
                      <w:bCs/>
                      <w:sz w:val="21"/>
                      <w:szCs w:val="21"/>
                      <w:lang w:eastAsia="ru-RU"/>
                    </w:rPr>
                  </w:pPr>
                  <w:r w:rsidRPr="00600011">
                    <w:rPr>
                      <w:rFonts w:asciiTheme="minorHAnsi" w:eastAsia="Times New Roman" w:hAnsiTheme="minorHAnsi" w:cs="Times New Roman"/>
                      <w:b/>
                      <w:bCs/>
                      <w:sz w:val="21"/>
                      <w:szCs w:val="21"/>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b/>
                      <w:bCs/>
                      <w:sz w:val="21"/>
                      <w:szCs w:val="21"/>
                      <w:lang w:eastAsia="ru-RU"/>
                    </w:rPr>
                  </w:pPr>
                </w:p>
              </w:tc>
            </w:tr>
            <w:tr w:rsidR="00600011" w:rsidRPr="006000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Услуги по организации отдыха и развлечений прочие, не включенные в другие группировки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93.29.19.000</w:t>
                  </w:r>
                </w:p>
              </w:tc>
              <w:tc>
                <w:tcPr>
                  <w:tcW w:w="0" w:type="auto"/>
                  <w:gridSpan w:val="3"/>
                  <w:tcBorders>
                    <w:top w:val="nil"/>
                    <w:left w:val="nil"/>
                    <w:bottom w:val="nil"/>
                    <w:right w:val="nil"/>
                  </w:tcBorders>
                  <w:tcMar>
                    <w:top w:w="0" w:type="dxa"/>
                    <w:left w:w="0" w:type="dxa"/>
                    <w:bottom w:w="0" w:type="dxa"/>
                    <w:right w:w="0"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29847.83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r w:rsidRPr="00600011">
                    <w:rPr>
                      <w:rFonts w:asciiTheme="minorHAnsi" w:eastAsia="Times New Roman" w:hAnsiTheme="minorHAnsi" w:cs="Times New Roman"/>
                      <w:sz w:val="21"/>
                      <w:szCs w:val="21"/>
                      <w:lang w:eastAsia="ru-RU"/>
                    </w:rPr>
                    <w:t>417869.67</w:t>
                  </w:r>
                </w:p>
              </w:tc>
            </w:tr>
          </w:tbl>
          <w:p w:rsidR="00600011" w:rsidRPr="00600011" w:rsidRDefault="00600011" w:rsidP="00600011">
            <w:pPr>
              <w:spacing w:line="240" w:lineRule="auto"/>
              <w:ind w:left="0"/>
              <w:jc w:val="left"/>
              <w:rPr>
                <w:rFonts w:asciiTheme="minorHAnsi" w:eastAsia="Times New Roman" w:hAnsiTheme="minorHAnsi" w:cs="Times New Roman"/>
                <w:color w:val="000000"/>
                <w:sz w:val="21"/>
                <w:szCs w:val="21"/>
                <w:lang w:eastAsia="ru-RU"/>
              </w:rPr>
            </w:pPr>
          </w:p>
        </w:tc>
      </w:tr>
      <w:tr w:rsidR="00600011" w:rsidRPr="00600011" w:rsidTr="00600011">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righ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Итого: 417869.67 Российский рубль</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Преимущества и требования к участникам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Преимущества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Не установлены</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Требования к участникам</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1 Единые требования к участникам (в соответствии с частью 1 Статьи 31 Федерального закона № 44-ФЗ) </w:t>
            </w:r>
          </w:p>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lastRenderedPageBreak/>
              <w:t>Дополнительная информация к требованию отсутствует</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lastRenderedPageBreak/>
              <w:t>Ограничения и запреты</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Не установлены</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Обеспечение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Обеспечение исполнения контракта не требуется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color w:val="000000"/>
                <w:sz w:val="21"/>
                <w:szCs w:val="21"/>
                <w:lang w:eastAsia="ru-RU"/>
              </w:rPr>
            </w:pP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Обеспечение гарантийных обязательств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11" w:rsidRPr="00600011" w:rsidRDefault="00600011" w:rsidP="00600011">
            <w:pPr>
              <w:spacing w:line="240" w:lineRule="auto"/>
              <w:ind w:left="0"/>
              <w:jc w:val="left"/>
              <w:rPr>
                <w:rFonts w:asciiTheme="minorHAnsi" w:eastAsia="Times New Roman" w:hAnsiTheme="minorHAnsi" w:cs="Times New Roman"/>
                <w:sz w:val="21"/>
                <w:szCs w:val="21"/>
                <w:lang w:eastAsia="ru-RU"/>
              </w:rPr>
            </w:pP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Обеспечение гарантийных обязательств не требуется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line="240" w:lineRule="auto"/>
              <w:ind w:left="0"/>
              <w:jc w:val="left"/>
              <w:rPr>
                <w:rFonts w:asciiTheme="minorHAnsi" w:eastAsia="Times New Roman" w:hAnsiTheme="minorHAnsi" w:cs="Times New Roman"/>
                <w:color w:val="000000"/>
                <w:sz w:val="21"/>
                <w:szCs w:val="21"/>
                <w:lang w:eastAsia="ru-RU"/>
              </w:rPr>
            </w:pP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Информация отсутствует</w:t>
            </w:r>
          </w:p>
        </w:tc>
      </w:tr>
      <w:tr w:rsidR="00600011" w:rsidRPr="00600011" w:rsidTr="00600011">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b/>
                <w:bCs/>
                <w:color w:val="000000"/>
                <w:sz w:val="21"/>
                <w:szCs w:val="21"/>
                <w:lang w:eastAsia="ru-RU"/>
              </w:rPr>
              <w:t>Информация о банковском и (или) казначейском сопровождении контракта</w:t>
            </w:r>
          </w:p>
        </w:tc>
      </w:tr>
      <w:tr w:rsidR="00600011" w:rsidRPr="00600011" w:rsidTr="00600011">
        <w:trPr>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Банковское или казначейское сопровождение контракта не требуется</w:t>
            </w:r>
          </w:p>
        </w:tc>
      </w:tr>
      <w:tr w:rsidR="00600011" w:rsidRPr="00600011" w:rsidTr="0060001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Перечень прикрепленных документов</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00011" w:rsidRPr="00600011" w:rsidRDefault="00600011" w:rsidP="00600011">
            <w:pPr>
              <w:spacing w:before="100" w:beforeAutospacing="1" w:after="100" w:afterAutospacing="1" w:line="240" w:lineRule="auto"/>
              <w:ind w:left="0"/>
              <w:jc w:val="left"/>
              <w:rPr>
                <w:rFonts w:asciiTheme="minorHAnsi" w:eastAsia="Times New Roman" w:hAnsiTheme="minorHAnsi" w:cs="Times New Roman"/>
                <w:color w:val="000000"/>
                <w:sz w:val="21"/>
                <w:szCs w:val="21"/>
                <w:lang w:eastAsia="ru-RU"/>
              </w:rPr>
            </w:pPr>
            <w:r w:rsidRPr="00600011">
              <w:rPr>
                <w:rFonts w:asciiTheme="minorHAnsi" w:eastAsia="Times New Roman" w:hAnsiTheme="minorHAnsi" w:cs="Times New Roman"/>
                <w:color w:val="000000"/>
                <w:sz w:val="21"/>
                <w:szCs w:val="21"/>
                <w:lang w:eastAsia="ru-RU"/>
              </w:rPr>
              <w:t>1 Извещение Лагерь 1 и 2 смены</w:t>
            </w:r>
          </w:p>
        </w:tc>
      </w:tr>
    </w:tbl>
    <w:p w:rsidR="00D4441B" w:rsidRPr="00600011" w:rsidRDefault="00D4441B" w:rsidP="00600011">
      <w:pPr>
        <w:ind w:left="0"/>
        <w:rPr>
          <w:rFonts w:asciiTheme="minorHAnsi" w:hAnsiTheme="minorHAnsi"/>
          <w:sz w:val="21"/>
          <w:szCs w:val="21"/>
        </w:rPr>
      </w:pPr>
    </w:p>
    <w:sectPr w:rsidR="00D4441B" w:rsidRPr="00600011" w:rsidSect="00F45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0011"/>
    <w:rsid w:val="00600011"/>
    <w:rsid w:val="006A4578"/>
    <w:rsid w:val="009C0923"/>
    <w:rsid w:val="00D4441B"/>
    <w:rsid w:val="00F45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ормальный"/>
    <w:qFormat/>
    <w:rsid w:val="006A4578"/>
    <w:pPr>
      <w:spacing w:after="0"/>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subtitle">
    <w:name w:val="subtitle"/>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1">
    <w:name w:val="Название объекта1"/>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parameter">
    <w:name w:val="parameter"/>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parametervalue">
    <w:name w:val="parametervalue"/>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styleId="a3">
    <w:name w:val="Normal (Web)"/>
    <w:basedOn w:val="a"/>
    <w:uiPriority w:val="99"/>
    <w:unhideWhenUsed/>
    <w:rsid w:val="00600011"/>
    <w:pPr>
      <w:spacing w:before="100" w:beforeAutospacing="1" w:after="100" w:afterAutospacing="1" w:line="240" w:lineRule="auto"/>
      <w:ind w:left="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ормальный"/>
    <w:qFormat/>
    <w:rsid w:val="006A4578"/>
    <w:pPr>
      <w:spacing w:after="0"/>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subtitle">
    <w:name w:val="subtitle"/>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caption">
    <w:name w:val="caption"/>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parameter">
    <w:name w:val="parameter"/>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parametervalue">
    <w:name w:val="parametervalue"/>
    <w:basedOn w:val="a"/>
    <w:rsid w:val="00600011"/>
    <w:pPr>
      <w:spacing w:before="100" w:beforeAutospacing="1" w:after="100" w:afterAutospacing="1" w:line="240" w:lineRule="auto"/>
      <w:ind w:left="0"/>
      <w:jc w:val="left"/>
    </w:pPr>
    <w:rPr>
      <w:rFonts w:eastAsia="Times New Roman" w:cs="Times New Roman"/>
      <w:sz w:val="24"/>
      <w:szCs w:val="24"/>
      <w:lang w:eastAsia="ru-RU"/>
    </w:rPr>
  </w:style>
  <w:style w:type="paragraph" w:styleId="a3">
    <w:name w:val="Normal (Web)"/>
    <w:basedOn w:val="a"/>
    <w:uiPriority w:val="99"/>
    <w:unhideWhenUsed/>
    <w:rsid w:val="00600011"/>
    <w:pPr>
      <w:spacing w:before="100" w:beforeAutospacing="1" w:after="100" w:afterAutospacing="1" w:line="240" w:lineRule="auto"/>
      <w:ind w:left="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17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2020-04-07T09:43:00Z</dcterms:created>
  <dcterms:modified xsi:type="dcterms:W3CDTF">2020-04-07T09:43:00Z</dcterms:modified>
</cp:coreProperties>
</file>