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EFFDB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proofErr w:type="spellStart"/>
      <w:r w:rsidRPr="009A419E">
        <w:rPr>
          <w:b/>
          <w:bCs/>
          <w:sz w:val="36"/>
          <w:szCs w:val="36"/>
        </w:rPr>
        <w:t>Фёдоровское</w:t>
      </w:r>
      <w:proofErr w:type="spellEnd"/>
      <w:r w:rsidRPr="009A419E">
        <w:rPr>
          <w:b/>
          <w:bCs/>
          <w:sz w:val="36"/>
          <w:szCs w:val="36"/>
        </w:rPr>
        <w:t xml:space="preserve"> городское поселение</w:t>
      </w:r>
    </w:p>
    <w:p w14:paraId="3DEA6819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Тосненского муниципального района</w:t>
      </w:r>
    </w:p>
    <w:p w14:paraId="64A8645E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Ленинградской области</w:t>
      </w:r>
    </w:p>
    <w:p w14:paraId="2B1F4975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Администрация</w:t>
      </w:r>
    </w:p>
    <w:p w14:paraId="6A51E924" w14:textId="77777777"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</w:p>
    <w:p w14:paraId="6369E989" w14:textId="77777777"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 xml:space="preserve">Постановление </w:t>
      </w:r>
    </w:p>
    <w:p w14:paraId="71311657" w14:textId="77777777" w:rsidR="00890926" w:rsidRPr="009A419E" w:rsidRDefault="00890926" w:rsidP="00E21115">
      <w:pPr>
        <w:rPr>
          <w:b/>
          <w:bCs/>
          <w:sz w:val="28"/>
          <w:szCs w:val="28"/>
        </w:rPr>
      </w:pPr>
    </w:p>
    <w:p w14:paraId="03330530" w14:textId="59E0F26A" w:rsidR="00890926" w:rsidRPr="00DF27B4" w:rsidRDefault="004956AC" w:rsidP="00E21115">
      <w:pPr>
        <w:rPr>
          <w:szCs w:val="28"/>
        </w:rPr>
      </w:pPr>
      <w:r>
        <w:rPr>
          <w:bCs/>
          <w:sz w:val="28"/>
          <w:szCs w:val="36"/>
        </w:rPr>
        <w:t>14</w:t>
      </w:r>
      <w:r w:rsidR="00890926" w:rsidRPr="00DF27B4">
        <w:rPr>
          <w:bCs/>
          <w:sz w:val="28"/>
          <w:szCs w:val="36"/>
        </w:rPr>
        <w:t>.</w:t>
      </w:r>
      <w:r w:rsidR="008E3506">
        <w:rPr>
          <w:bCs/>
          <w:sz w:val="28"/>
          <w:szCs w:val="36"/>
        </w:rPr>
        <w:t>0</w:t>
      </w:r>
      <w:r w:rsidR="008D692F">
        <w:rPr>
          <w:bCs/>
          <w:sz w:val="28"/>
          <w:szCs w:val="36"/>
        </w:rPr>
        <w:t>6</w:t>
      </w:r>
      <w:r w:rsidR="00890926" w:rsidRPr="00DF27B4">
        <w:rPr>
          <w:bCs/>
          <w:sz w:val="28"/>
          <w:szCs w:val="36"/>
        </w:rPr>
        <w:t>.202</w:t>
      </w:r>
      <w:r w:rsidR="008E3506">
        <w:rPr>
          <w:bCs/>
          <w:sz w:val="28"/>
          <w:szCs w:val="36"/>
        </w:rPr>
        <w:t>2</w:t>
      </w:r>
      <w:r w:rsidR="00890926" w:rsidRPr="00DF27B4">
        <w:rPr>
          <w:bCs/>
          <w:sz w:val="28"/>
          <w:szCs w:val="36"/>
        </w:rPr>
        <w:t xml:space="preserve"> №</w:t>
      </w:r>
      <w:r w:rsidR="00577E0B">
        <w:rPr>
          <w:bCs/>
          <w:sz w:val="28"/>
          <w:szCs w:val="36"/>
        </w:rPr>
        <w:t xml:space="preserve"> </w:t>
      </w:r>
      <w:r>
        <w:rPr>
          <w:bCs/>
          <w:sz w:val="28"/>
          <w:szCs w:val="36"/>
        </w:rPr>
        <w:t>298</w:t>
      </w:r>
    </w:p>
    <w:p w14:paraId="575AC665" w14:textId="77777777" w:rsidR="00890926" w:rsidRPr="009A419E" w:rsidRDefault="004956AC" w:rsidP="00E21115">
      <w:pPr>
        <w:rPr>
          <w:sz w:val="28"/>
          <w:szCs w:val="28"/>
        </w:rPr>
      </w:pPr>
      <w:r>
        <w:rPr>
          <w:noProof/>
        </w:rPr>
        <w:pict w14:anchorId="32875080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65pt;margin-top:4.7pt;width:372.35pt;height:142.15pt;z-index:251658240;visibility:visible" filled="f" stroked="f">
            <v:textbox style="mso-next-textbox:#Поле 1">
              <w:txbxContent>
                <w:p w14:paraId="695E51B7" w14:textId="2CB663EE" w:rsidR="00DE7ECF" w:rsidRPr="00DF27B4" w:rsidRDefault="00DE7ECF" w:rsidP="00CE541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 внесении изменений в постановление администрации Фёдоровского городского поселения Тосненского муниципального района Ленинградской области от 01.02.2022 № 37 «</w:t>
                  </w:r>
                  <w:r w:rsidRPr="00DF27B4">
                    <w:rPr>
                      <w:sz w:val="28"/>
                    </w:rPr>
                    <w:t xml:space="preserve">Об утверждении муниципальной программы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9A419E">
                    <w:rPr>
                      <w:sz w:val="28"/>
                      <w:szCs w:val="28"/>
                    </w:rPr>
                    <w:t>Создание условий для экономического развития в Ф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9A419E">
                    <w:rPr>
                      <w:sz w:val="28"/>
                      <w:szCs w:val="28"/>
                    </w:rPr>
                    <w:t>доровском городском поселении Тосненского</w:t>
                  </w:r>
                  <w:r>
                    <w:rPr>
                      <w:sz w:val="28"/>
                      <w:szCs w:val="28"/>
                    </w:rPr>
                    <w:t xml:space="preserve"> муниципального</w:t>
                  </w:r>
                  <w:r w:rsidRPr="009A419E">
                    <w:rPr>
                      <w:sz w:val="28"/>
                      <w:szCs w:val="28"/>
                    </w:rPr>
                    <w:t xml:space="preserve"> района Ленинградской области»</w:t>
                  </w:r>
                  <w:r w:rsidR="008D692F">
                    <w:rPr>
                      <w:sz w:val="28"/>
                      <w:szCs w:val="28"/>
                    </w:rPr>
                    <w:t>, с изменениями от 22.03.2022 № 131</w:t>
                  </w:r>
                </w:p>
                <w:p w14:paraId="6271BE08" w14:textId="77777777" w:rsidR="00DE7ECF" w:rsidRDefault="00DE7ECF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40942FF8" w14:textId="77777777" w:rsidR="00DE7ECF" w:rsidRDefault="00DE7ECF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00108A0" w14:textId="77777777" w:rsidR="00DE7ECF" w:rsidRPr="002F66A6" w:rsidRDefault="00DE7ECF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2B49933" w14:textId="77777777" w:rsidR="00DE7ECF" w:rsidRPr="001349A0" w:rsidRDefault="00DE7ECF" w:rsidP="00E2111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35660069" w14:textId="77777777" w:rsidR="00DE7ECF" w:rsidRPr="00210ED7" w:rsidRDefault="00DE7ECF" w:rsidP="00E211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507A073B" w14:textId="77777777" w:rsidR="00890926" w:rsidRPr="009A419E" w:rsidRDefault="00890926" w:rsidP="00E21115">
      <w:pPr>
        <w:rPr>
          <w:sz w:val="28"/>
          <w:szCs w:val="28"/>
        </w:rPr>
      </w:pPr>
    </w:p>
    <w:p w14:paraId="74743A8C" w14:textId="77777777" w:rsidR="00890926" w:rsidRPr="009A419E" w:rsidRDefault="00890926" w:rsidP="00E21115">
      <w:pPr>
        <w:rPr>
          <w:sz w:val="28"/>
          <w:szCs w:val="28"/>
        </w:rPr>
      </w:pPr>
    </w:p>
    <w:p w14:paraId="29F6FE14" w14:textId="77777777" w:rsidR="00890926" w:rsidRPr="009A419E" w:rsidRDefault="00890926" w:rsidP="00E21115">
      <w:pPr>
        <w:rPr>
          <w:sz w:val="28"/>
          <w:szCs w:val="28"/>
        </w:rPr>
      </w:pPr>
    </w:p>
    <w:p w14:paraId="037E0A6E" w14:textId="77777777" w:rsidR="00890926" w:rsidRPr="009A419E" w:rsidRDefault="00890926" w:rsidP="00DC443B">
      <w:pPr>
        <w:jc w:val="both"/>
        <w:rPr>
          <w:sz w:val="28"/>
          <w:szCs w:val="28"/>
        </w:rPr>
      </w:pPr>
    </w:p>
    <w:p w14:paraId="1562C42D" w14:textId="77777777" w:rsidR="00232545" w:rsidRDefault="00232545" w:rsidP="00577E0B">
      <w:pPr>
        <w:jc w:val="both"/>
        <w:rPr>
          <w:sz w:val="28"/>
          <w:szCs w:val="28"/>
        </w:rPr>
      </w:pPr>
    </w:p>
    <w:p w14:paraId="090CBE41" w14:textId="77777777" w:rsidR="00232545" w:rsidRDefault="00232545" w:rsidP="00577E0B">
      <w:pPr>
        <w:jc w:val="both"/>
        <w:rPr>
          <w:sz w:val="28"/>
          <w:szCs w:val="28"/>
        </w:rPr>
      </w:pPr>
    </w:p>
    <w:p w14:paraId="48EB772A" w14:textId="77777777" w:rsidR="00232545" w:rsidRDefault="00232545" w:rsidP="00577E0B">
      <w:pPr>
        <w:jc w:val="both"/>
        <w:rPr>
          <w:sz w:val="28"/>
          <w:szCs w:val="28"/>
        </w:rPr>
      </w:pPr>
    </w:p>
    <w:p w14:paraId="0C475EE7" w14:textId="77777777" w:rsidR="00232545" w:rsidRDefault="00232545" w:rsidP="00577E0B">
      <w:pPr>
        <w:jc w:val="both"/>
        <w:rPr>
          <w:sz w:val="28"/>
          <w:szCs w:val="28"/>
        </w:rPr>
      </w:pPr>
    </w:p>
    <w:p w14:paraId="291072D3" w14:textId="77777777" w:rsidR="00232545" w:rsidRDefault="00232545" w:rsidP="00577E0B">
      <w:pPr>
        <w:jc w:val="both"/>
        <w:rPr>
          <w:sz w:val="28"/>
          <w:szCs w:val="28"/>
        </w:rPr>
      </w:pPr>
    </w:p>
    <w:p w14:paraId="7711D740" w14:textId="77777777" w:rsidR="00890926" w:rsidRPr="009A419E" w:rsidRDefault="00890926" w:rsidP="00577E0B">
      <w:pPr>
        <w:jc w:val="both"/>
        <w:rPr>
          <w:sz w:val="28"/>
          <w:szCs w:val="28"/>
        </w:rPr>
      </w:pPr>
      <w:r w:rsidRPr="00577E0B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Ф</w:t>
      </w:r>
      <w:r w:rsidR="004A35E6">
        <w:rPr>
          <w:sz w:val="28"/>
          <w:szCs w:val="28"/>
        </w:rPr>
        <w:t>ё</w:t>
      </w:r>
      <w:r w:rsidRPr="00577E0B">
        <w:rPr>
          <w:sz w:val="28"/>
          <w:szCs w:val="28"/>
        </w:rPr>
        <w:t xml:space="preserve">доровского </w:t>
      </w:r>
      <w:r w:rsidR="004A35E6">
        <w:rPr>
          <w:sz w:val="28"/>
          <w:szCs w:val="28"/>
        </w:rPr>
        <w:t>городского</w:t>
      </w:r>
      <w:r w:rsidRPr="00577E0B">
        <w:rPr>
          <w:sz w:val="28"/>
          <w:szCs w:val="28"/>
        </w:rPr>
        <w:t xml:space="preserve"> поселения Тосненского</w:t>
      </w:r>
      <w:r w:rsidR="004A35E6">
        <w:rPr>
          <w:sz w:val="28"/>
          <w:szCs w:val="28"/>
        </w:rPr>
        <w:t xml:space="preserve"> муниципального</w:t>
      </w:r>
      <w:r w:rsidRPr="00577E0B">
        <w:rPr>
          <w:sz w:val="28"/>
          <w:szCs w:val="28"/>
        </w:rPr>
        <w:t xml:space="preserve"> района Ленинградской области от </w:t>
      </w:r>
      <w:r w:rsidR="00577E0B" w:rsidRPr="00577E0B">
        <w:rPr>
          <w:sz w:val="28"/>
          <w:szCs w:val="28"/>
        </w:rPr>
        <w:t>01</w:t>
      </w:r>
      <w:r w:rsidRPr="00577E0B">
        <w:rPr>
          <w:sz w:val="28"/>
          <w:szCs w:val="28"/>
        </w:rPr>
        <w:t>.0</w:t>
      </w:r>
      <w:r w:rsidR="00577E0B" w:rsidRPr="00577E0B">
        <w:rPr>
          <w:sz w:val="28"/>
          <w:szCs w:val="28"/>
        </w:rPr>
        <w:t>2</w:t>
      </w:r>
      <w:r w:rsidRPr="00577E0B">
        <w:rPr>
          <w:sz w:val="28"/>
          <w:szCs w:val="28"/>
        </w:rPr>
        <w:t>.20</w:t>
      </w:r>
      <w:r w:rsidR="00577E0B" w:rsidRPr="00577E0B">
        <w:rPr>
          <w:sz w:val="28"/>
          <w:szCs w:val="28"/>
        </w:rPr>
        <w:t>22</w:t>
      </w:r>
      <w:r w:rsidRPr="00577E0B">
        <w:rPr>
          <w:sz w:val="28"/>
          <w:szCs w:val="28"/>
        </w:rPr>
        <w:t xml:space="preserve"> № </w:t>
      </w:r>
      <w:r w:rsidR="00577E0B" w:rsidRPr="00577E0B">
        <w:rPr>
          <w:sz w:val="28"/>
          <w:szCs w:val="28"/>
        </w:rPr>
        <w:t>36</w:t>
      </w:r>
      <w:r w:rsidRPr="00577E0B">
        <w:rPr>
          <w:sz w:val="28"/>
          <w:szCs w:val="28"/>
        </w:rPr>
        <w:t xml:space="preserve"> «Об утверждении </w:t>
      </w:r>
      <w:r w:rsidR="00577E0B" w:rsidRPr="00577E0B">
        <w:rPr>
          <w:sz w:val="28"/>
          <w:szCs w:val="28"/>
        </w:rPr>
        <w:t>«Порядка разработки, реализации</w:t>
      </w:r>
      <w:r w:rsidR="00577E0B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и оценки эффективности муниципальных программ</w:t>
      </w:r>
      <w:r w:rsidR="00577E0B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Фёдоровского городского поселения Тосненского</w:t>
      </w:r>
      <w:r w:rsidR="004A35E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муниципального района Ленинградской области»</w:t>
      </w:r>
      <w:r w:rsidRPr="00577E0B">
        <w:rPr>
          <w:sz w:val="28"/>
          <w:szCs w:val="28"/>
        </w:rPr>
        <w:t xml:space="preserve">, Уставом </w:t>
      </w:r>
      <w:r w:rsidR="008E3506" w:rsidRPr="00577E0B">
        <w:rPr>
          <w:sz w:val="28"/>
          <w:szCs w:val="28"/>
        </w:rPr>
        <w:t xml:space="preserve">администрации </w:t>
      </w:r>
      <w:r w:rsidRPr="00577E0B">
        <w:rPr>
          <w:sz w:val="28"/>
          <w:szCs w:val="28"/>
        </w:rPr>
        <w:t>Фёдоровского городского поселения Тосненского муниципального</w:t>
      </w:r>
      <w:r w:rsidRPr="009A419E">
        <w:rPr>
          <w:sz w:val="28"/>
          <w:szCs w:val="28"/>
        </w:rPr>
        <w:t xml:space="preserve"> района Ленинградской области, администрация Фёдоровского городского поселения Тосненского муниципального района Ленинградской области </w:t>
      </w:r>
    </w:p>
    <w:p w14:paraId="027BA0D9" w14:textId="77777777"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14:paraId="5BD65C34" w14:textId="77777777"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ПОСТАНОВЛЯЕТ</w:t>
      </w:r>
    </w:p>
    <w:p w14:paraId="77E1DDE1" w14:textId="25C0BD6D" w:rsidR="008D692F" w:rsidRDefault="00890926" w:rsidP="008D6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 xml:space="preserve">1. </w:t>
      </w:r>
      <w:r w:rsidR="00232545">
        <w:rPr>
          <w:sz w:val="28"/>
          <w:szCs w:val="28"/>
        </w:rPr>
        <w:t>Внести изменения</w:t>
      </w:r>
      <w:r w:rsidR="004956AC">
        <w:rPr>
          <w:sz w:val="28"/>
          <w:szCs w:val="28"/>
        </w:rPr>
        <w:t xml:space="preserve"> в</w:t>
      </w:r>
      <w:r w:rsidR="00232545">
        <w:rPr>
          <w:sz w:val="28"/>
          <w:szCs w:val="28"/>
        </w:rPr>
        <w:t xml:space="preserve"> </w:t>
      </w:r>
      <w:r w:rsidR="00232545" w:rsidRPr="00232545">
        <w:rPr>
          <w:sz w:val="28"/>
          <w:szCs w:val="28"/>
        </w:rPr>
        <w:t>Приложение №  1  к муниципальной программе</w:t>
      </w:r>
      <w:r w:rsidR="00232545">
        <w:rPr>
          <w:sz w:val="28"/>
          <w:szCs w:val="28"/>
        </w:rPr>
        <w:t xml:space="preserve"> </w:t>
      </w:r>
      <w:r w:rsidR="00232545" w:rsidRPr="009A419E">
        <w:rPr>
          <w:sz w:val="28"/>
          <w:szCs w:val="28"/>
        </w:rPr>
        <w:t>«</w:t>
      </w:r>
      <w:r w:rsidR="00232545"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 w:rsidR="008D692F">
        <w:rPr>
          <w:sz w:val="28"/>
          <w:szCs w:val="28"/>
        </w:rPr>
        <w:t xml:space="preserve"> и </w:t>
      </w:r>
      <w:r w:rsidR="00232545">
        <w:rPr>
          <w:sz w:val="28"/>
          <w:szCs w:val="28"/>
        </w:rPr>
        <w:t>изложить</w:t>
      </w:r>
      <w:r w:rsidR="008D692F">
        <w:rPr>
          <w:sz w:val="28"/>
          <w:szCs w:val="28"/>
        </w:rPr>
        <w:t xml:space="preserve"> его</w:t>
      </w:r>
      <w:r w:rsidR="00232545">
        <w:rPr>
          <w:sz w:val="28"/>
          <w:szCs w:val="28"/>
        </w:rPr>
        <w:t xml:space="preserve"> в новой редакции, согласно </w:t>
      </w:r>
      <w:r w:rsidR="008D692F">
        <w:rPr>
          <w:sz w:val="28"/>
          <w:szCs w:val="28"/>
        </w:rPr>
        <w:t>П</w:t>
      </w:r>
      <w:r w:rsidR="00232545">
        <w:rPr>
          <w:sz w:val="28"/>
          <w:szCs w:val="28"/>
        </w:rPr>
        <w:t>риложению к настоящему Постановлению.</w:t>
      </w:r>
    </w:p>
    <w:p w14:paraId="23967AF2" w14:textId="77777777" w:rsidR="008D692F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926" w:rsidRPr="009A419E">
        <w:rPr>
          <w:sz w:val="28"/>
          <w:szCs w:val="28"/>
        </w:rPr>
        <w:t>Обеспечить опубликование (обнародование) настоящего постановления.</w:t>
      </w:r>
    </w:p>
    <w:p w14:paraId="620E2FE3" w14:textId="518ED5F2" w:rsidR="00890926" w:rsidRPr="009A419E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90926" w:rsidRPr="009A419E">
        <w:rPr>
          <w:sz w:val="28"/>
          <w:szCs w:val="28"/>
        </w:rPr>
        <w:t>Контроль за</w:t>
      </w:r>
      <w:proofErr w:type="gramEnd"/>
      <w:r w:rsidR="00890926" w:rsidRPr="009A419E">
        <w:rPr>
          <w:sz w:val="28"/>
          <w:szCs w:val="28"/>
        </w:rPr>
        <w:t xml:space="preserve"> исполнением постановления оставляю за собой.</w:t>
      </w:r>
    </w:p>
    <w:p w14:paraId="671DCE89" w14:textId="77777777" w:rsidR="00232545" w:rsidRDefault="00232545" w:rsidP="00E21115">
      <w:pPr>
        <w:ind w:firstLine="360"/>
        <w:jc w:val="both"/>
        <w:rPr>
          <w:sz w:val="28"/>
          <w:szCs w:val="28"/>
        </w:rPr>
      </w:pPr>
    </w:p>
    <w:p w14:paraId="3C383058" w14:textId="2A519C17" w:rsidR="00232545" w:rsidRDefault="00890926" w:rsidP="00DE7ECF">
      <w:pPr>
        <w:ind w:firstLine="360"/>
        <w:jc w:val="both"/>
        <w:rPr>
          <w:sz w:val="16"/>
          <w:szCs w:val="28"/>
        </w:rPr>
      </w:pPr>
      <w:proofErr w:type="spellStart"/>
      <w:r w:rsidRPr="009A419E">
        <w:rPr>
          <w:sz w:val="28"/>
          <w:szCs w:val="28"/>
        </w:rPr>
        <w:t>И.о</w:t>
      </w:r>
      <w:proofErr w:type="spellEnd"/>
      <w:r w:rsidRPr="009A419E">
        <w:rPr>
          <w:sz w:val="28"/>
          <w:szCs w:val="28"/>
        </w:rPr>
        <w:t xml:space="preserve">. главы администрации                                 </w:t>
      </w:r>
      <w:r w:rsidRPr="009A419E">
        <w:rPr>
          <w:sz w:val="28"/>
          <w:szCs w:val="28"/>
        </w:rPr>
        <w:tab/>
      </w:r>
      <w:r w:rsidR="008C1CBB">
        <w:rPr>
          <w:sz w:val="28"/>
          <w:szCs w:val="28"/>
        </w:rPr>
        <w:t>М.И. Носов</w:t>
      </w:r>
    </w:p>
    <w:p w14:paraId="52A366DA" w14:textId="77777777" w:rsidR="00232545" w:rsidRDefault="00232545" w:rsidP="008E3506">
      <w:pPr>
        <w:autoSpaceDE w:val="0"/>
        <w:autoSpaceDN w:val="0"/>
        <w:rPr>
          <w:sz w:val="16"/>
          <w:szCs w:val="28"/>
        </w:rPr>
      </w:pPr>
    </w:p>
    <w:p w14:paraId="61AD8C97" w14:textId="77777777" w:rsidR="00232545" w:rsidRDefault="00232545" w:rsidP="008E3506">
      <w:pPr>
        <w:autoSpaceDE w:val="0"/>
        <w:autoSpaceDN w:val="0"/>
        <w:rPr>
          <w:sz w:val="16"/>
          <w:szCs w:val="28"/>
        </w:rPr>
      </w:pPr>
    </w:p>
    <w:p w14:paraId="76B25615" w14:textId="77777777" w:rsidR="0012164A" w:rsidRDefault="0012164A" w:rsidP="008E3506">
      <w:pPr>
        <w:autoSpaceDE w:val="0"/>
        <w:autoSpaceDN w:val="0"/>
        <w:rPr>
          <w:sz w:val="16"/>
          <w:szCs w:val="28"/>
        </w:rPr>
      </w:pPr>
    </w:p>
    <w:p w14:paraId="7EC2B579" w14:textId="77777777" w:rsidR="008D692F" w:rsidRDefault="008D692F" w:rsidP="008D692F">
      <w:pPr>
        <w:autoSpaceDE w:val="0"/>
        <w:autoSpaceDN w:val="0"/>
        <w:rPr>
          <w:sz w:val="16"/>
          <w:szCs w:val="28"/>
        </w:rPr>
      </w:pPr>
      <w:r>
        <w:rPr>
          <w:sz w:val="16"/>
          <w:szCs w:val="28"/>
        </w:rPr>
        <w:t>И</w:t>
      </w:r>
      <w:r w:rsidR="008E3506" w:rsidRPr="008E3506">
        <w:rPr>
          <w:sz w:val="16"/>
          <w:szCs w:val="28"/>
        </w:rPr>
        <w:t>сполнитель: Андрианова А.Ю.</w:t>
      </w:r>
    </w:p>
    <w:p w14:paraId="4FC8B3BA" w14:textId="77777777" w:rsidR="008D692F" w:rsidRDefault="008D692F" w:rsidP="008D692F">
      <w:pPr>
        <w:autoSpaceDE w:val="0"/>
        <w:autoSpaceDN w:val="0"/>
        <w:rPr>
          <w:sz w:val="16"/>
          <w:szCs w:val="28"/>
        </w:rPr>
      </w:pPr>
    </w:p>
    <w:p w14:paraId="61A3CBCC" w14:textId="77777777" w:rsidR="008D692F" w:rsidRDefault="008D692F" w:rsidP="008D692F">
      <w:pPr>
        <w:autoSpaceDE w:val="0"/>
        <w:autoSpaceDN w:val="0"/>
        <w:rPr>
          <w:sz w:val="16"/>
          <w:szCs w:val="28"/>
        </w:rPr>
        <w:sectPr w:rsidR="008D692F" w:rsidSect="0012164A">
          <w:footerReference w:type="default" r:id="rId8"/>
          <w:pgSz w:w="11906" w:h="16838"/>
          <w:pgMar w:top="709" w:right="849" w:bottom="142" w:left="1418" w:header="0" w:footer="0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6"/>
        <w:gridCol w:w="2216"/>
        <w:gridCol w:w="1797"/>
        <w:gridCol w:w="1259"/>
        <w:gridCol w:w="1259"/>
        <w:gridCol w:w="1741"/>
        <w:gridCol w:w="2865"/>
        <w:gridCol w:w="1935"/>
        <w:gridCol w:w="591"/>
        <w:gridCol w:w="591"/>
        <w:gridCol w:w="1183"/>
      </w:tblGrid>
      <w:tr w:rsidR="008D692F" w:rsidRPr="008D692F" w14:paraId="592C676D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ED34" w14:textId="77777777" w:rsidR="008D692F" w:rsidRDefault="008D692F" w:rsidP="008D692F">
            <w:pPr>
              <w:rPr>
                <w:rFonts w:ascii="Calibri" w:hAnsi="Calibri"/>
                <w:color w:val="000000"/>
              </w:rPr>
            </w:pPr>
            <w:bookmarkStart w:id="0" w:name="_GoBack" w:colFirst="0" w:colLast="0"/>
          </w:p>
          <w:p w14:paraId="1CF1E301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6107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FDD9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191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7399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86EF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56129" w14:textId="77777777" w:rsidR="008D692F" w:rsidRDefault="008D692F" w:rsidP="008D69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к постановлению администрации </w:t>
            </w:r>
          </w:p>
          <w:p w14:paraId="456FA917" w14:textId="77777777" w:rsidR="008D692F" w:rsidRDefault="008D692F" w:rsidP="008D69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Фёдоровского городского поселения Тосненского</w:t>
            </w:r>
          </w:p>
          <w:p w14:paraId="655FAC5A" w14:textId="77777777" w:rsidR="008D692F" w:rsidRDefault="008D692F" w:rsidP="008D69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Ленинградской</w:t>
            </w:r>
            <w:proofErr w:type="gramEnd"/>
          </w:p>
          <w:p w14:paraId="60B523D6" w14:textId="534C16B6" w:rsidR="008D692F" w:rsidRPr="008D692F" w:rsidRDefault="008D692F" w:rsidP="004956A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области от </w:t>
            </w:r>
            <w:r w:rsidR="004956AC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.06.2022 № </w:t>
            </w:r>
            <w:r w:rsidR="004956AC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BE9C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1DD1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CF23" w14:textId="77777777" w:rsidR="008D692F" w:rsidRPr="008D692F" w:rsidRDefault="008D692F" w:rsidP="008D692F">
            <w:pPr>
              <w:rPr>
                <w:color w:val="000000"/>
              </w:rPr>
            </w:pPr>
          </w:p>
        </w:tc>
      </w:tr>
      <w:tr w:rsidR="008D692F" w:rsidRPr="008D692F" w14:paraId="5076483C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827" w14:textId="2263F441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94B1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30C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14E4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68A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0293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A7972" w14:textId="5B7FDF5E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586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A9F1" w14:textId="77777777" w:rsidR="008D692F" w:rsidRPr="008D692F" w:rsidRDefault="008D692F" w:rsidP="008D692F">
            <w:pPr>
              <w:rPr>
                <w:color w:val="000000"/>
              </w:rPr>
            </w:pPr>
          </w:p>
        </w:tc>
      </w:tr>
      <w:tr w:rsidR="008D692F" w:rsidRPr="008D692F" w14:paraId="5D4D9533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FCC9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A6C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E302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AA1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9FC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6477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E94B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C7B4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59F" w14:textId="77777777" w:rsidR="008D692F" w:rsidRPr="008D692F" w:rsidRDefault="008D692F" w:rsidP="008D692F">
            <w:pPr>
              <w:rPr>
                <w:color w:val="000000"/>
              </w:rPr>
            </w:pPr>
          </w:p>
        </w:tc>
      </w:tr>
      <w:tr w:rsidR="008D692F" w:rsidRPr="008D692F" w14:paraId="36AD38EB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A776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1CD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FDF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9E5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184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C0EC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091C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35D0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40B6" w14:textId="77777777" w:rsidR="008D692F" w:rsidRPr="008D692F" w:rsidRDefault="008D692F" w:rsidP="008D692F">
            <w:pPr>
              <w:rPr>
                <w:color w:val="000000"/>
              </w:rPr>
            </w:pPr>
          </w:p>
        </w:tc>
      </w:tr>
      <w:tr w:rsidR="008D692F" w:rsidRPr="008D692F" w14:paraId="376DE8A5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6F0E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4434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49BF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E978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8C9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66C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A70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92BA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D3D1" w14:textId="77777777" w:rsidR="008D692F" w:rsidRPr="008D692F" w:rsidRDefault="008D692F" w:rsidP="008D692F">
            <w:pPr>
              <w:rPr>
                <w:color w:val="000000"/>
              </w:rPr>
            </w:pPr>
          </w:p>
        </w:tc>
      </w:tr>
      <w:tr w:rsidR="008D692F" w:rsidRPr="008D692F" w14:paraId="46AA813A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D531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64B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5E87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34A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2C81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4D6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F156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3B53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92C8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BBE6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5E12" w14:textId="77777777" w:rsidR="008D692F" w:rsidRPr="008D692F" w:rsidRDefault="008D692F" w:rsidP="008D692F">
            <w:pPr>
              <w:rPr>
                <w:color w:val="000000"/>
              </w:rPr>
            </w:pPr>
          </w:p>
        </w:tc>
      </w:tr>
      <w:tr w:rsidR="008D692F" w:rsidRPr="008D692F" w14:paraId="07F18CF9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59C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DFC2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FA7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14D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E22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DE6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A0E2" w14:textId="41A2DCF3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 xml:space="preserve">Приложение №  1 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CFED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7810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C3CC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359C" w14:textId="77777777" w:rsidR="008D692F" w:rsidRPr="008D692F" w:rsidRDefault="008D692F" w:rsidP="008D692F">
            <w:pPr>
              <w:rPr>
                <w:color w:val="000000"/>
              </w:rPr>
            </w:pPr>
          </w:p>
        </w:tc>
      </w:tr>
      <w:tr w:rsidR="008D692F" w:rsidRPr="008D692F" w14:paraId="56FD8D67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E421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9E4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FC68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DEB3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465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D5E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6F71" w14:textId="20031D3D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к муниципальной программе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813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C951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0F26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2634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</w:tr>
      <w:tr w:rsidR="008D692F" w:rsidRPr="008D692F" w14:paraId="71AD6E7A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939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F1C6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196F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B5B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AE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435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2E43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9442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29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E3A1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</w:tr>
      <w:tr w:rsidR="008D692F" w:rsidRPr="008D692F" w14:paraId="63024867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3A1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D3F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2A89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A867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6112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A783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1A5E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5075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56D9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7B1B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7E19" w14:textId="77777777" w:rsidR="008D692F" w:rsidRPr="008D692F" w:rsidRDefault="008D692F" w:rsidP="008D692F">
            <w:pPr>
              <w:rPr>
                <w:color w:val="000000"/>
              </w:rPr>
            </w:pPr>
          </w:p>
        </w:tc>
      </w:tr>
      <w:tr w:rsidR="008D692F" w:rsidRPr="008D692F" w14:paraId="70157885" w14:textId="77777777" w:rsidTr="008D692F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8C44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03F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E15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</w:rPr>
              <w:t>План реализации муниципальной программы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BE0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740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1332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2DE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</w:tr>
      <w:tr w:rsidR="008D692F" w:rsidRPr="008D692F" w14:paraId="3E0FA47F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72BE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903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090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8F9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535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FEA2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39E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F40E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84A4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7354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18C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</w:tr>
      <w:tr w:rsidR="008D692F" w:rsidRPr="008D692F" w14:paraId="0E04EC09" w14:textId="77777777" w:rsidTr="008D692F">
        <w:trPr>
          <w:trHeight w:val="154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6EEE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5A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E7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66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211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45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2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FF04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8D692F" w:rsidRPr="008D692F" w14:paraId="6A725385" w14:textId="77777777" w:rsidTr="008D692F">
        <w:trPr>
          <w:trHeight w:val="30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D5DB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226D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90C8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12AF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AF19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1EBB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E52A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786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8D692F" w:rsidRPr="008D692F" w14:paraId="5206304F" w14:textId="77777777" w:rsidTr="008D692F">
        <w:trPr>
          <w:trHeight w:val="60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0D6D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EEF5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F71C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B94C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876E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533C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218E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089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92E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8B4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D0B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8D692F" w:rsidRPr="008D692F" w14:paraId="537AFB24" w14:textId="77777777" w:rsidTr="008D692F">
        <w:trPr>
          <w:trHeight w:val="31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1E24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23F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BEB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A7C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798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0FC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50C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D13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F1A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98D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813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D692F" w:rsidRPr="008D692F" w14:paraId="0E6A16E1" w14:textId="77777777" w:rsidTr="008D692F">
        <w:trPr>
          <w:trHeight w:val="36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018931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8F2F8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 xml:space="preserve">«Создание условий для экономического развития в Фёдоровском городском поселении </w:t>
            </w:r>
            <w:r w:rsidRPr="008D692F">
              <w:rPr>
                <w:color w:val="000000"/>
                <w:sz w:val="22"/>
                <w:szCs w:val="22"/>
              </w:rPr>
              <w:lastRenderedPageBreak/>
              <w:t>Тосненского муниципального района Ленинградской области»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DE995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lastRenderedPageBreak/>
              <w:t xml:space="preserve">Главный специалист по экономическому развитию администрации Фёдоровского </w:t>
            </w:r>
            <w:r w:rsidRPr="008D692F">
              <w:rPr>
                <w:color w:val="000000"/>
                <w:sz w:val="22"/>
                <w:szCs w:val="22"/>
              </w:rPr>
              <w:lastRenderedPageBreak/>
              <w:t>городского поселения Тосненского муниципального района Ленинградской области,</w:t>
            </w:r>
            <w:r w:rsidRPr="008D692F">
              <w:rPr>
                <w:color w:val="000000"/>
                <w:sz w:val="22"/>
                <w:szCs w:val="22"/>
              </w:rPr>
              <w:br/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30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D2D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D8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EC6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96B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EBA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457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FF75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68CF919C" w14:textId="77777777" w:rsidTr="008D692F">
        <w:trPr>
          <w:trHeight w:val="39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C7462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8161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565C3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F00A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6F66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5A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FE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6C7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54F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8C7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F84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2761791F" w14:textId="77777777" w:rsidTr="008D692F">
        <w:trPr>
          <w:trHeight w:val="39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F286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EB41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AD7BC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06D7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A1AC7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8B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424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69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DE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48B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9935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692F" w:rsidRPr="008D692F" w14:paraId="384543AF" w14:textId="77777777" w:rsidTr="008D692F">
        <w:trPr>
          <w:trHeight w:val="39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05F32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DF33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F7FCB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6789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D5FA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E2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13B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4780,00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3F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4780,00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74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7CA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E08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692F" w:rsidRPr="008D692F" w14:paraId="18644099" w14:textId="77777777" w:rsidTr="008D692F">
        <w:trPr>
          <w:trHeight w:val="319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26ED5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2CE8D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C3A6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09BA2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F7803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BC9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D5B5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789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173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3A5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7B9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692F" w:rsidRPr="008D692F" w14:paraId="5E9018FC" w14:textId="77777777" w:rsidTr="008D692F">
        <w:trPr>
          <w:trHeight w:val="345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EE122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FADFE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BE8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918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EC50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96C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2DD" w14:textId="77777777" w:rsidR="008D692F" w:rsidRPr="008D692F" w:rsidRDefault="008D692F" w:rsidP="008D692F">
            <w:pPr>
              <w:jc w:val="center"/>
              <w:rPr>
                <w:b/>
                <w:bCs/>
                <w:color w:val="000000"/>
              </w:rPr>
            </w:pPr>
            <w:r w:rsidRPr="008D692F">
              <w:rPr>
                <w:b/>
                <w:bCs/>
                <w:color w:val="000000"/>
                <w:sz w:val="22"/>
                <w:szCs w:val="22"/>
              </w:rPr>
              <w:t>7180,00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F18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7180,00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DCA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ED7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300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692F" w:rsidRPr="008D692F" w14:paraId="0AB590F9" w14:textId="77777777" w:rsidTr="008D692F">
        <w:trPr>
          <w:trHeight w:val="2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631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8D692F" w:rsidRPr="008D692F" w14:paraId="2B547CFD" w14:textId="77777777" w:rsidTr="008D692F">
        <w:trPr>
          <w:trHeight w:val="66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609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93A4" w14:textId="77777777" w:rsidR="008D692F" w:rsidRPr="008D692F" w:rsidRDefault="008D692F" w:rsidP="008D692F">
            <w:pPr>
              <w:jc w:val="both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E2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696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51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8A8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 xml:space="preserve">20___г.  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1C0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3BE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9B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E1A5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3CB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27CF4C50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C75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8E7" w14:textId="77777777" w:rsidR="008D692F" w:rsidRPr="008D692F" w:rsidRDefault="008D692F" w:rsidP="008D692F">
            <w:pPr>
              <w:jc w:val="both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16D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3B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D0F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6E20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 xml:space="preserve">20___г.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90E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A82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25B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1055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7CE5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15651BF2" w14:textId="77777777" w:rsidTr="008D692F">
        <w:trPr>
          <w:trHeight w:val="31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5AD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31B" w14:textId="77777777" w:rsidR="008D692F" w:rsidRPr="008D692F" w:rsidRDefault="008D692F" w:rsidP="008D692F">
            <w:pPr>
              <w:jc w:val="both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885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6105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00D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3140A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BEF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E2F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2AB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B56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3BD4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6623F055" w14:textId="77777777" w:rsidTr="008D692F">
        <w:trPr>
          <w:trHeight w:val="31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C3EA" w14:textId="77777777" w:rsidR="008D692F" w:rsidRPr="008D692F" w:rsidRDefault="008D692F" w:rsidP="008D692F">
            <w:pPr>
              <w:jc w:val="both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044" w14:textId="77777777" w:rsidR="008D692F" w:rsidRPr="008D692F" w:rsidRDefault="008D692F" w:rsidP="008D692F">
            <w:pPr>
              <w:jc w:val="both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7EF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E4D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BF2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F76FAB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2E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0525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49F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37D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1CA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13DC2E95" w14:textId="77777777" w:rsidTr="008D692F">
        <w:trPr>
          <w:trHeight w:val="28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D987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D20F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3DE7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8017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C8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A6DE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56FC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CE32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4D66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17D9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B8D9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22B7C9BB" w14:textId="77777777" w:rsidTr="008D69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3C42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lastRenderedPageBreak/>
              <w:t>ПРОЦЕССНАЯ ЧАСТЬ</w:t>
            </w:r>
          </w:p>
        </w:tc>
      </w:tr>
      <w:tr w:rsidR="008D692F" w:rsidRPr="008D692F" w14:paraId="620DCBDC" w14:textId="77777777" w:rsidTr="008D692F">
        <w:trPr>
          <w:trHeight w:val="30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C2D70F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C154C4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E49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DC76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5FA8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59C3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 xml:space="preserve">20___г.  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4B7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229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2C8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7BDC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285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493EDD84" w14:textId="77777777" w:rsidTr="008D692F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A511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5776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455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4E5C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EFE6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012E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 xml:space="preserve">20___г. 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0527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4891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9A47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40BA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FC7B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3D5ACC6E" w14:textId="77777777" w:rsidTr="008D692F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4DAE9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DAD6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1471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FE94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D5134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FEC7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C554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E15C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68F5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2D03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93CC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54832271" w14:textId="77777777" w:rsidTr="008D692F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17133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982E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F0B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11AFC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F71C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489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B407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5ED7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FF8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9F8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C6DE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3D4C1C65" w14:textId="77777777" w:rsidTr="008D692F">
        <w:trPr>
          <w:trHeight w:val="90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hideMark/>
          </w:tcPr>
          <w:p w14:paraId="45CD2331" w14:textId="77777777" w:rsidR="008D692F" w:rsidRPr="008D692F" w:rsidRDefault="008D692F" w:rsidP="008D692F">
            <w:pPr>
              <w:jc w:val="right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CBD5F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Мероприятия по  информационной поддержке малого и среднего предпринимательства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4BDCED74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8E4ADD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DAE450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75BDC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FE911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10638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C8671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28178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1C649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692F" w:rsidRPr="008D692F" w14:paraId="07236B20" w14:textId="77777777" w:rsidTr="008D692F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2E3A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3140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3758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A15A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0DC6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37CE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8944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CEB9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3A97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9337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56F16" w14:textId="77777777" w:rsidR="008D692F" w:rsidRPr="008D692F" w:rsidRDefault="008D692F" w:rsidP="008D692F">
            <w:pPr>
              <w:rPr>
                <w:color w:val="000000"/>
              </w:rPr>
            </w:pPr>
          </w:p>
        </w:tc>
      </w:tr>
      <w:tr w:rsidR="008D692F" w:rsidRPr="008D692F" w14:paraId="39EC629C" w14:textId="77777777" w:rsidTr="008D692F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4CB7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FB20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AACD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72CE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3E19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2943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C38F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2515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7231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9A4B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CF693" w14:textId="77777777" w:rsidR="008D692F" w:rsidRPr="008D692F" w:rsidRDefault="008D692F" w:rsidP="008D692F">
            <w:pPr>
              <w:rPr>
                <w:color w:val="000000"/>
              </w:rPr>
            </w:pPr>
          </w:p>
        </w:tc>
      </w:tr>
      <w:tr w:rsidR="008D692F" w:rsidRPr="008D692F" w14:paraId="6B9931C2" w14:textId="77777777" w:rsidTr="008D692F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C23B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B16D1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3169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48C3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1C7C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8B01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638D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0F48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2F20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9CBE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EEC0" w14:textId="77777777" w:rsidR="008D692F" w:rsidRPr="008D692F" w:rsidRDefault="008D692F" w:rsidP="008D692F">
            <w:pPr>
              <w:rPr>
                <w:color w:val="000000"/>
              </w:rPr>
            </w:pPr>
          </w:p>
        </w:tc>
      </w:tr>
      <w:tr w:rsidR="008D692F" w:rsidRPr="008D692F" w14:paraId="3F7EF000" w14:textId="77777777" w:rsidTr="008D692F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E2E6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B8278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92B9B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B65E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24E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CC0D0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1BE41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0907A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77D40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0E177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A7F56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692F" w:rsidRPr="008D692F" w14:paraId="33799694" w14:textId="77777777" w:rsidTr="008D692F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9F995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8AD7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33F6A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468C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54927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143E5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A8CCB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C2C0B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68928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C9777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F9F6A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692F" w:rsidRPr="008D692F" w14:paraId="4279AB5C" w14:textId="77777777" w:rsidTr="008D692F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2811C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4B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1121" w14:textId="77777777" w:rsidR="008D692F" w:rsidRPr="008D692F" w:rsidRDefault="008D692F" w:rsidP="008D692F">
            <w:pPr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2376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451B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B1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FB1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C3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C52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3A7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7A4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92F" w:rsidRPr="008D692F" w14:paraId="1779AD9F" w14:textId="77777777" w:rsidTr="008D692F">
        <w:trPr>
          <w:trHeight w:val="90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AFC03D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6EB982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F6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 xml:space="preserve">Заместитель главы администрации Фёдоровского городского поселения Тосненского муниципального района </w:t>
            </w:r>
            <w:r w:rsidRPr="008D692F">
              <w:rPr>
                <w:color w:val="000000"/>
                <w:sz w:val="22"/>
                <w:szCs w:val="22"/>
              </w:rPr>
              <w:lastRenderedPageBreak/>
              <w:t>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8CE970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E430F0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362EB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AAAAD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1870,00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6A140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1870,00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8F941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31ACC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BED18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692F" w:rsidRPr="008D692F" w14:paraId="6AB004C7" w14:textId="77777777" w:rsidTr="008D692F">
        <w:trPr>
          <w:trHeight w:val="84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6645C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4EEB8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6E5C2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8FFF2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FB0C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5E44D5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8382E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4730,00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40FA5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4730,00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D06DB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0EC3D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7C5405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692F" w:rsidRPr="008D692F" w14:paraId="56714A25" w14:textId="77777777" w:rsidTr="008D692F">
        <w:trPr>
          <w:trHeight w:val="7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32A3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78A1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90CA4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6AE38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66E7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C98A9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D6091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27691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F8220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3E2BB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1F64F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692F" w:rsidRPr="008D692F" w14:paraId="1B9EF2DF" w14:textId="77777777" w:rsidTr="008D692F">
        <w:trPr>
          <w:trHeight w:val="91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554B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EA4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 xml:space="preserve">Внесение изменений в описание местоположения границ 4 населенных пунктов (Глинка, Ладога, </w:t>
            </w:r>
            <w:proofErr w:type="spellStart"/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Фёдоровское</w:t>
            </w:r>
            <w:proofErr w:type="spellEnd"/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г.п</w:t>
            </w:r>
            <w:proofErr w:type="spellEnd"/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Аннолово</w:t>
            </w:r>
            <w:proofErr w:type="spellEnd"/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05F5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75EC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A7C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22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B2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8EE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34E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3FE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A34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3824D148" w14:textId="77777777" w:rsidTr="008D692F">
        <w:trPr>
          <w:trHeight w:val="855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0B09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30AF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904D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0B4F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224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F8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F1B4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6A0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182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D9D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3F5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618BDA9C" w14:textId="77777777" w:rsidTr="008D692F">
        <w:trPr>
          <w:trHeight w:val="645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7C3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1C22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81473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56049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BA88F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03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4DE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AA45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0AB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96D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164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3E672C5B" w14:textId="77777777" w:rsidTr="008D692F">
        <w:trPr>
          <w:trHeight w:val="84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7D72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5208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AF205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7FFD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BC0A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F2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B3F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29D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48F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05F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092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79F19260" w14:textId="77777777" w:rsidTr="008D692F">
        <w:trPr>
          <w:trHeight w:val="79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7D52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D7998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AF02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CC40F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A2F3F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56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0E3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60E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54A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EAD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730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499626BE" w14:textId="77777777" w:rsidTr="008D692F">
        <w:trPr>
          <w:trHeight w:val="69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962B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BBD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CC08A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32AE7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19F5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6C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9CC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D4D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0AE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038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3F9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2477A8B1" w14:textId="77777777" w:rsidTr="008D692F">
        <w:trPr>
          <w:trHeight w:val="67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200B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863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Вынос в натуру межевых знаков (100 точек)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16EE5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121F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FB50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3E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C86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3C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70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634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EF5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35722915" w14:textId="77777777" w:rsidTr="008D692F">
        <w:trPr>
          <w:trHeight w:val="75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42F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3EE6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EBB5F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6FFBC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D8912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CB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272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CA7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675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628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9A6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21A0CEE3" w14:textId="77777777" w:rsidTr="008D692F">
        <w:trPr>
          <w:trHeight w:val="63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ECA2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EAEA9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578C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E5AA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83C0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C24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391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1E2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610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755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C4B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780F4E0E" w14:textId="77777777" w:rsidTr="008D692F">
        <w:trPr>
          <w:trHeight w:val="69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955C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BB6B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Изготовление топографической съемки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DDF45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4D61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70FB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390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C3E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C43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604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45A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0AE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3AA52546" w14:textId="77777777" w:rsidTr="008D692F">
        <w:trPr>
          <w:trHeight w:val="69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5EE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B7E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F9FF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37B97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8FC1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21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C3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509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9F4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33C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14D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618104FF" w14:textId="77777777" w:rsidTr="008D692F">
        <w:trPr>
          <w:trHeight w:val="67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B0B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3958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4DA62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AAD5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94809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22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46A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A39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564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E91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F00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60D76200" w14:textId="77777777" w:rsidTr="008D692F">
        <w:trPr>
          <w:trHeight w:val="70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9D47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832F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Услуги в области землеустройства (Инвентаризация земель в границах населенных пунктов, Постановка на кадастровый учет дорог)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8C79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D519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036F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B3F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8B4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970,00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E46F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970,00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5243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D59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83E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4CD9843D" w14:textId="77777777" w:rsidTr="008D692F">
        <w:trPr>
          <w:trHeight w:val="61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8A78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E9BA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26A9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E1408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373A9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4C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B6E3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4300,00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A05D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4300,00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1D9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C43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E2E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07128664" w14:textId="77777777" w:rsidTr="008D692F">
        <w:trPr>
          <w:trHeight w:val="70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0255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D5F7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BB09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841C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1474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86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7FF9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452E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A54A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B7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1B7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443F09E0" w14:textId="77777777" w:rsidTr="008D692F">
        <w:trPr>
          <w:trHeight w:val="60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5BDA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CDF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Оценка земельных участков для аукционов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8876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DB5A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E649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927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0D5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E14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3C3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ADE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442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2BC92816" w14:textId="77777777" w:rsidTr="008D692F">
        <w:trPr>
          <w:trHeight w:val="48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AB19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ABD53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F517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04854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3713E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303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706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C38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276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681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0882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13801E53" w14:textId="77777777" w:rsidTr="008D692F">
        <w:trPr>
          <w:trHeight w:val="48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AB0F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3AD7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FC28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57142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6CC03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8388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B639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7CE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703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62F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A92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650D9BEE" w14:textId="77777777" w:rsidTr="008D692F">
        <w:trPr>
          <w:trHeight w:val="70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6A2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C55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 xml:space="preserve">Внесение изменений в </w:t>
            </w:r>
            <w:proofErr w:type="spellStart"/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Ген</w:t>
            </w:r>
            <w:proofErr w:type="gramStart"/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лан</w:t>
            </w:r>
            <w:proofErr w:type="spellEnd"/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6DA8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ABB6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2B40" w14:textId="77777777" w:rsidR="008D692F" w:rsidRPr="008D692F" w:rsidRDefault="008D692F" w:rsidP="008D692F">
            <w:pPr>
              <w:jc w:val="center"/>
              <w:rPr>
                <w:rFonts w:ascii="Calibri" w:hAnsi="Calibri"/>
                <w:color w:val="000000"/>
              </w:rPr>
            </w:pPr>
            <w:r w:rsidRPr="008D692F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0B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2FD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91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05B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4D4C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3F7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5E6DA967" w14:textId="77777777" w:rsidTr="008D692F">
        <w:trPr>
          <w:trHeight w:val="63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D70C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BC2E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FBDE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32E3D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1DC02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0B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A26F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55A4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3BD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509E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890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692F" w:rsidRPr="008D692F" w14:paraId="6F83DF5F" w14:textId="77777777" w:rsidTr="008D692F">
        <w:trPr>
          <w:trHeight w:val="49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8BD8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5144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7A64" w14:textId="77777777" w:rsidR="008D692F" w:rsidRPr="008D692F" w:rsidRDefault="008D692F" w:rsidP="008D692F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21C40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2BFDB" w14:textId="77777777" w:rsidR="008D692F" w:rsidRPr="008D692F" w:rsidRDefault="008D692F" w:rsidP="008D69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10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CC34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A321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2AB0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8BF6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371B" w14:textId="77777777" w:rsidR="008D692F" w:rsidRPr="008D692F" w:rsidRDefault="008D692F" w:rsidP="008D692F">
            <w:pPr>
              <w:jc w:val="center"/>
              <w:rPr>
                <w:color w:val="000000"/>
              </w:rPr>
            </w:pPr>
            <w:r w:rsidRPr="008D692F">
              <w:rPr>
                <w:color w:val="000000"/>
                <w:sz w:val="22"/>
                <w:szCs w:val="22"/>
              </w:rPr>
              <w:t>0,00</w:t>
            </w:r>
          </w:p>
        </w:tc>
      </w:tr>
      <w:bookmarkEnd w:id="0"/>
    </w:tbl>
    <w:p w14:paraId="48BC24D6" w14:textId="1FD414B4" w:rsidR="0012164A" w:rsidRDefault="0012164A" w:rsidP="008D692F">
      <w:pPr>
        <w:autoSpaceDE w:val="0"/>
        <w:autoSpaceDN w:val="0"/>
        <w:rPr>
          <w:sz w:val="16"/>
          <w:szCs w:val="28"/>
        </w:rPr>
      </w:pPr>
    </w:p>
    <w:p w14:paraId="5079783E" w14:textId="77777777" w:rsidR="008D692F" w:rsidRDefault="008D692F" w:rsidP="008D692F">
      <w:pPr>
        <w:autoSpaceDE w:val="0"/>
        <w:autoSpaceDN w:val="0"/>
        <w:rPr>
          <w:sz w:val="16"/>
          <w:szCs w:val="28"/>
        </w:rPr>
      </w:pPr>
    </w:p>
    <w:p w14:paraId="5F06B82A" w14:textId="77777777" w:rsidR="008D692F" w:rsidRDefault="008D692F" w:rsidP="008D692F">
      <w:pPr>
        <w:autoSpaceDE w:val="0"/>
        <w:autoSpaceDN w:val="0"/>
        <w:rPr>
          <w:sz w:val="22"/>
          <w:szCs w:val="28"/>
        </w:rPr>
      </w:pPr>
    </w:p>
    <w:sectPr w:rsidR="008D692F" w:rsidSect="008D692F">
      <w:pgSz w:w="16838" w:h="11906" w:orient="landscape"/>
      <w:pgMar w:top="1418" w:right="709" w:bottom="849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C0E13" w14:textId="77777777" w:rsidR="00DE7ECF" w:rsidRDefault="00DE7ECF">
      <w:r>
        <w:separator/>
      </w:r>
    </w:p>
  </w:endnote>
  <w:endnote w:type="continuationSeparator" w:id="0">
    <w:p w14:paraId="1EB75307" w14:textId="77777777" w:rsidR="00DE7ECF" w:rsidRDefault="00DE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03578" w14:textId="77777777" w:rsidR="00DE7ECF" w:rsidRDefault="00DE7ECF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81592" w14:textId="77777777" w:rsidR="00DE7ECF" w:rsidRDefault="00DE7ECF">
      <w:r>
        <w:separator/>
      </w:r>
    </w:p>
  </w:footnote>
  <w:footnote w:type="continuationSeparator" w:id="0">
    <w:p w14:paraId="6703963A" w14:textId="77777777" w:rsidR="00DE7ECF" w:rsidRDefault="00DE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C43"/>
    <w:rsid w:val="000039F3"/>
    <w:rsid w:val="00010071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187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2324"/>
    <w:rsid w:val="00103D90"/>
    <w:rsid w:val="00107DA6"/>
    <w:rsid w:val="00114CDA"/>
    <w:rsid w:val="0012164A"/>
    <w:rsid w:val="00122860"/>
    <w:rsid w:val="00134925"/>
    <w:rsid w:val="001349A0"/>
    <w:rsid w:val="00142A37"/>
    <w:rsid w:val="001468B7"/>
    <w:rsid w:val="00150F0D"/>
    <w:rsid w:val="0015168A"/>
    <w:rsid w:val="00152355"/>
    <w:rsid w:val="001619EB"/>
    <w:rsid w:val="001623DA"/>
    <w:rsid w:val="00162D0C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0F45"/>
    <w:rsid w:val="00232170"/>
    <w:rsid w:val="00232545"/>
    <w:rsid w:val="00232977"/>
    <w:rsid w:val="002332B8"/>
    <w:rsid w:val="002339D3"/>
    <w:rsid w:val="00250635"/>
    <w:rsid w:val="0025172F"/>
    <w:rsid w:val="00266190"/>
    <w:rsid w:val="00271697"/>
    <w:rsid w:val="00281B64"/>
    <w:rsid w:val="002918E6"/>
    <w:rsid w:val="00296A3A"/>
    <w:rsid w:val="002A280E"/>
    <w:rsid w:val="002A291B"/>
    <w:rsid w:val="002C77E5"/>
    <w:rsid w:val="002E41AB"/>
    <w:rsid w:val="002F2422"/>
    <w:rsid w:val="002F66A6"/>
    <w:rsid w:val="002F6A53"/>
    <w:rsid w:val="0030054E"/>
    <w:rsid w:val="003037CD"/>
    <w:rsid w:val="0030448C"/>
    <w:rsid w:val="00304A39"/>
    <w:rsid w:val="003159BA"/>
    <w:rsid w:val="003318D7"/>
    <w:rsid w:val="003567B4"/>
    <w:rsid w:val="00361082"/>
    <w:rsid w:val="00361301"/>
    <w:rsid w:val="0036243D"/>
    <w:rsid w:val="0036593F"/>
    <w:rsid w:val="00371CCE"/>
    <w:rsid w:val="00374B35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3F7AF6"/>
    <w:rsid w:val="0040555B"/>
    <w:rsid w:val="00406AB4"/>
    <w:rsid w:val="00406D46"/>
    <w:rsid w:val="00406F8F"/>
    <w:rsid w:val="00416E24"/>
    <w:rsid w:val="004172BF"/>
    <w:rsid w:val="00417C3C"/>
    <w:rsid w:val="0042732E"/>
    <w:rsid w:val="00427B65"/>
    <w:rsid w:val="00434132"/>
    <w:rsid w:val="00435D30"/>
    <w:rsid w:val="00451291"/>
    <w:rsid w:val="00461514"/>
    <w:rsid w:val="00461E45"/>
    <w:rsid w:val="0046307E"/>
    <w:rsid w:val="00463F12"/>
    <w:rsid w:val="00464AD2"/>
    <w:rsid w:val="00470F13"/>
    <w:rsid w:val="004711A1"/>
    <w:rsid w:val="0047274D"/>
    <w:rsid w:val="00480C68"/>
    <w:rsid w:val="004826DF"/>
    <w:rsid w:val="004856A0"/>
    <w:rsid w:val="00485FE8"/>
    <w:rsid w:val="00494376"/>
    <w:rsid w:val="004943C0"/>
    <w:rsid w:val="004943EA"/>
    <w:rsid w:val="004956AC"/>
    <w:rsid w:val="004A35E6"/>
    <w:rsid w:val="004A6BB3"/>
    <w:rsid w:val="004A7746"/>
    <w:rsid w:val="004B302D"/>
    <w:rsid w:val="004B5673"/>
    <w:rsid w:val="004B6788"/>
    <w:rsid w:val="004B7ABE"/>
    <w:rsid w:val="004C1DCA"/>
    <w:rsid w:val="004C669D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77E0B"/>
    <w:rsid w:val="005837BB"/>
    <w:rsid w:val="00584FC6"/>
    <w:rsid w:val="00591232"/>
    <w:rsid w:val="00593469"/>
    <w:rsid w:val="00594546"/>
    <w:rsid w:val="005A5F2A"/>
    <w:rsid w:val="005B1461"/>
    <w:rsid w:val="005B3D1D"/>
    <w:rsid w:val="005B703A"/>
    <w:rsid w:val="005C5F3B"/>
    <w:rsid w:val="005D12F5"/>
    <w:rsid w:val="005E118B"/>
    <w:rsid w:val="005E1D5E"/>
    <w:rsid w:val="005E511A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935"/>
    <w:rsid w:val="00685D7D"/>
    <w:rsid w:val="00691FB7"/>
    <w:rsid w:val="00697E26"/>
    <w:rsid w:val="006A68A9"/>
    <w:rsid w:val="006B40C8"/>
    <w:rsid w:val="006B7C43"/>
    <w:rsid w:val="006C36A5"/>
    <w:rsid w:val="006C6531"/>
    <w:rsid w:val="006D2532"/>
    <w:rsid w:val="006E02E1"/>
    <w:rsid w:val="006E5DDE"/>
    <w:rsid w:val="006E65AE"/>
    <w:rsid w:val="006F714E"/>
    <w:rsid w:val="00711389"/>
    <w:rsid w:val="00711AD3"/>
    <w:rsid w:val="0071611D"/>
    <w:rsid w:val="00722379"/>
    <w:rsid w:val="007236DD"/>
    <w:rsid w:val="007304E6"/>
    <w:rsid w:val="00730FE6"/>
    <w:rsid w:val="00736657"/>
    <w:rsid w:val="007405A3"/>
    <w:rsid w:val="00747401"/>
    <w:rsid w:val="00750820"/>
    <w:rsid w:val="00753792"/>
    <w:rsid w:val="0076163A"/>
    <w:rsid w:val="00763D73"/>
    <w:rsid w:val="00766BFF"/>
    <w:rsid w:val="007676D8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E62CC"/>
    <w:rsid w:val="007F2291"/>
    <w:rsid w:val="007F25EB"/>
    <w:rsid w:val="007F2AB5"/>
    <w:rsid w:val="007F3561"/>
    <w:rsid w:val="00805148"/>
    <w:rsid w:val="00806223"/>
    <w:rsid w:val="008147F5"/>
    <w:rsid w:val="0081789E"/>
    <w:rsid w:val="00821CBB"/>
    <w:rsid w:val="0082723B"/>
    <w:rsid w:val="008317B8"/>
    <w:rsid w:val="00831815"/>
    <w:rsid w:val="008509EF"/>
    <w:rsid w:val="00851C86"/>
    <w:rsid w:val="00854B50"/>
    <w:rsid w:val="00855BB4"/>
    <w:rsid w:val="00856971"/>
    <w:rsid w:val="00856D2E"/>
    <w:rsid w:val="0086234E"/>
    <w:rsid w:val="00867DCF"/>
    <w:rsid w:val="008719B2"/>
    <w:rsid w:val="008733A1"/>
    <w:rsid w:val="00877CD1"/>
    <w:rsid w:val="00890926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C1CBB"/>
    <w:rsid w:val="008C7FB6"/>
    <w:rsid w:val="008D2D98"/>
    <w:rsid w:val="008D692F"/>
    <w:rsid w:val="008D7454"/>
    <w:rsid w:val="008E3506"/>
    <w:rsid w:val="008E5878"/>
    <w:rsid w:val="008F1B61"/>
    <w:rsid w:val="008F1FB8"/>
    <w:rsid w:val="008F6643"/>
    <w:rsid w:val="00901E4F"/>
    <w:rsid w:val="00913665"/>
    <w:rsid w:val="00917056"/>
    <w:rsid w:val="00925BEC"/>
    <w:rsid w:val="00927919"/>
    <w:rsid w:val="00935E2C"/>
    <w:rsid w:val="00936250"/>
    <w:rsid w:val="00941B84"/>
    <w:rsid w:val="009466C7"/>
    <w:rsid w:val="00950A72"/>
    <w:rsid w:val="009517CF"/>
    <w:rsid w:val="00951A91"/>
    <w:rsid w:val="0095640F"/>
    <w:rsid w:val="00956A9A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5C2A"/>
    <w:rsid w:val="009A419E"/>
    <w:rsid w:val="009B2FF4"/>
    <w:rsid w:val="009B3F9F"/>
    <w:rsid w:val="009B6443"/>
    <w:rsid w:val="009C476A"/>
    <w:rsid w:val="009C6B6F"/>
    <w:rsid w:val="009D138F"/>
    <w:rsid w:val="009D6EAF"/>
    <w:rsid w:val="009F6539"/>
    <w:rsid w:val="00A04595"/>
    <w:rsid w:val="00A07CC9"/>
    <w:rsid w:val="00A117EB"/>
    <w:rsid w:val="00A141BB"/>
    <w:rsid w:val="00A17D00"/>
    <w:rsid w:val="00A201D1"/>
    <w:rsid w:val="00A343D3"/>
    <w:rsid w:val="00A375C2"/>
    <w:rsid w:val="00A42421"/>
    <w:rsid w:val="00A447F6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87279"/>
    <w:rsid w:val="00A959E4"/>
    <w:rsid w:val="00AA0CE9"/>
    <w:rsid w:val="00AA16A6"/>
    <w:rsid w:val="00AA35E8"/>
    <w:rsid w:val="00AA535D"/>
    <w:rsid w:val="00AB5378"/>
    <w:rsid w:val="00AB57CA"/>
    <w:rsid w:val="00AC3181"/>
    <w:rsid w:val="00AD1631"/>
    <w:rsid w:val="00AD4012"/>
    <w:rsid w:val="00AD6A98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321F1"/>
    <w:rsid w:val="00B418F4"/>
    <w:rsid w:val="00B41E63"/>
    <w:rsid w:val="00B439A9"/>
    <w:rsid w:val="00B43D71"/>
    <w:rsid w:val="00B4441B"/>
    <w:rsid w:val="00B47004"/>
    <w:rsid w:val="00B521C3"/>
    <w:rsid w:val="00B56006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BF4423"/>
    <w:rsid w:val="00BF5593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4619E"/>
    <w:rsid w:val="00C5241C"/>
    <w:rsid w:val="00C55A0A"/>
    <w:rsid w:val="00C673AF"/>
    <w:rsid w:val="00C70113"/>
    <w:rsid w:val="00C71704"/>
    <w:rsid w:val="00C75375"/>
    <w:rsid w:val="00C7539D"/>
    <w:rsid w:val="00C924C0"/>
    <w:rsid w:val="00C965F3"/>
    <w:rsid w:val="00C96F36"/>
    <w:rsid w:val="00CB3860"/>
    <w:rsid w:val="00CB4AF2"/>
    <w:rsid w:val="00CB538A"/>
    <w:rsid w:val="00CB6120"/>
    <w:rsid w:val="00CB7BF2"/>
    <w:rsid w:val="00CC5257"/>
    <w:rsid w:val="00CC63DB"/>
    <w:rsid w:val="00CC6E39"/>
    <w:rsid w:val="00CD05A3"/>
    <w:rsid w:val="00CD4704"/>
    <w:rsid w:val="00CE0EF7"/>
    <w:rsid w:val="00CE1B50"/>
    <w:rsid w:val="00CE5411"/>
    <w:rsid w:val="00CF6A78"/>
    <w:rsid w:val="00CF7ACF"/>
    <w:rsid w:val="00D01290"/>
    <w:rsid w:val="00D12D70"/>
    <w:rsid w:val="00D1311B"/>
    <w:rsid w:val="00D1714B"/>
    <w:rsid w:val="00D42F8D"/>
    <w:rsid w:val="00D45956"/>
    <w:rsid w:val="00D55579"/>
    <w:rsid w:val="00D62063"/>
    <w:rsid w:val="00D63E4B"/>
    <w:rsid w:val="00D80DE4"/>
    <w:rsid w:val="00D81B07"/>
    <w:rsid w:val="00D8383F"/>
    <w:rsid w:val="00D911BA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D7105"/>
    <w:rsid w:val="00DE2108"/>
    <w:rsid w:val="00DE4907"/>
    <w:rsid w:val="00DE75A5"/>
    <w:rsid w:val="00DE7ECF"/>
    <w:rsid w:val="00DF27B4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3921"/>
    <w:rsid w:val="00E44486"/>
    <w:rsid w:val="00E53430"/>
    <w:rsid w:val="00E55176"/>
    <w:rsid w:val="00E5682F"/>
    <w:rsid w:val="00E64709"/>
    <w:rsid w:val="00E64938"/>
    <w:rsid w:val="00E6504E"/>
    <w:rsid w:val="00E65669"/>
    <w:rsid w:val="00E706DC"/>
    <w:rsid w:val="00E73DBA"/>
    <w:rsid w:val="00E83A99"/>
    <w:rsid w:val="00E8506C"/>
    <w:rsid w:val="00E90E6F"/>
    <w:rsid w:val="00E967C9"/>
    <w:rsid w:val="00EA0EBC"/>
    <w:rsid w:val="00EB41B7"/>
    <w:rsid w:val="00EB717A"/>
    <w:rsid w:val="00EB7F19"/>
    <w:rsid w:val="00ED090E"/>
    <w:rsid w:val="00ED1C37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3410"/>
    <w:rsid w:val="00F53B03"/>
    <w:rsid w:val="00F561DE"/>
    <w:rsid w:val="00F60255"/>
    <w:rsid w:val="00F60889"/>
    <w:rsid w:val="00F6365C"/>
    <w:rsid w:val="00F64101"/>
    <w:rsid w:val="00F658EA"/>
    <w:rsid w:val="00F6626B"/>
    <w:rsid w:val="00F773FC"/>
    <w:rsid w:val="00F901D8"/>
    <w:rsid w:val="00F95D70"/>
    <w:rsid w:val="00FA062D"/>
    <w:rsid w:val="00FA23AD"/>
    <w:rsid w:val="00FA7B24"/>
    <w:rsid w:val="00FC5BB8"/>
    <w:rsid w:val="00FD1B52"/>
    <w:rsid w:val="00FD1E4D"/>
    <w:rsid w:val="00FD393F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492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8401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f3">
    <w:name w:val="Strong"/>
    <w:basedOn w:val="a0"/>
    <w:uiPriority w:val="99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622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creator>Your User Name</dc:creator>
  <cp:lastModifiedBy>Social_2</cp:lastModifiedBy>
  <cp:revision>30</cp:revision>
  <cp:lastPrinted>2022-06-14T06:52:00Z</cp:lastPrinted>
  <dcterms:created xsi:type="dcterms:W3CDTF">2021-09-23T14:14:00Z</dcterms:created>
  <dcterms:modified xsi:type="dcterms:W3CDTF">2022-06-14T06:52:00Z</dcterms:modified>
</cp:coreProperties>
</file>